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9F51F5" w14:textId="230FCB3D" w:rsidR="00DA1938" w:rsidRPr="00DA1938" w:rsidRDefault="00D44845" w:rsidP="00DA1938">
      <w:pPr>
        <w:autoSpaceDE w:val="0"/>
        <w:autoSpaceDN w:val="0"/>
        <w:adjustRightInd w:val="0"/>
        <w:rPr>
          <w:rFonts w:ascii="Arial" w:hAnsi="Arial" w:cs="Arial"/>
          <w:b/>
          <w:caps/>
          <w:sz w:val="24"/>
          <w:szCs w:val="24"/>
        </w:rPr>
      </w:pPr>
      <w:r>
        <w:rPr>
          <w:rFonts w:ascii="Arial" w:hAnsi="Arial" w:cs="Arial"/>
          <w:b/>
          <w:caps/>
          <w:sz w:val="24"/>
          <w:szCs w:val="24"/>
        </w:rPr>
        <w:t>JOINT AUDIT COMMITTEE</w:t>
      </w:r>
    </w:p>
    <w:p w14:paraId="3BC66600" w14:textId="199DE4C9" w:rsidR="00D44845" w:rsidRDefault="00DA1938" w:rsidP="00DA1938">
      <w:pPr>
        <w:autoSpaceDE w:val="0"/>
        <w:autoSpaceDN w:val="0"/>
        <w:adjustRightInd w:val="0"/>
        <w:rPr>
          <w:rFonts w:ascii="Arial" w:hAnsi="Arial" w:cs="Arial"/>
          <w:b/>
          <w:sz w:val="24"/>
          <w:szCs w:val="24"/>
        </w:rPr>
      </w:pPr>
      <w:r w:rsidRPr="00DA1938">
        <w:rPr>
          <w:rFonts w:ascii="Arial" w:hAnsi="Arial" w:cs="Arial"/>
          <w:b/>
          <w:sz w:val="24"/>
          <w:szCs w:val="24"/>
        </w:rPr>
        <w:t xml:space="preserve">Meeting to be held on </w:t>
      </w:r>
      <w:r w:rsidR="00823FC0">
        <w:rPr>
          <w:rFonts w:ascii="Arial" w:hAnsi="Arial" w:cs="Arial"/>
          <w:b/>
          <w:sz w:val="24"/>
          <w:szCs w:val="24"/>
        </w:rPr>
        <w:t xml:space="preserve">Wednesday, 14 June 2023 at 10.00am in the </w:t>
      </w:r>
      <w:proofErr w:type="spellStart"/>
      <w:r w:rsidR="00823FC0">
        <w:rPr>
          <w:rFonts w:ascii="Arial" w:hAnsi="Arial" w:cs="Arial"/>
          <w:b/>
          <w:sz w:val="24"/>
          <w:szCs w:val="24"/>
        </w:rPr>
        <w:t>Ribble</w:t>
      </w:r>
      <w:proofErr w:type="spellEnd"/>
      <w:r w:rsidR="00823FC0">
        <w:rPr>
          <w:rFonts w:ascii="Arial" w:hAnsi="Arial" w:cs="Arial"/>
          <w:b/>
          <w:sz w:val="24"/>
          <w:szCs w:val="24"/>
        </w:rPr>
        <w:t xml:space="preserve"> Suite, The Exchange, County Hall, Preston</w:t>
      </w:r>
    </w:p>
    <w:p w14:paraId="6E17D90D" w14:textId="748F420E" w:rsidR="00DA1938" w:rsidRPr="00D44845" w:rsidRDefault="00D44845" w:rsidP="00DA1938">
      <w:pPr>
        <w:autoSpaceDE w:val="0"/>
        <w:autoSpaceDN w:val="0"/>
        <w:adjustRightInd w:val="0"/>
        <w:rPr>
          <w:rFonts w:ascii="Arial" w:hAnsi="Arial" w:cs="Arial"/>
          <w:b/>
          <w:sz w:val="28"/>
          <w:szCs w:val="28"/>
        </w:rPr>
      </w:pPr>
      <w:r w:rsidRPr="00D44845">
        <w:rPr>
          <w:rFonts w:ascii="Arial" w:hAnsi="Arial" w:cs="Arial"/>
          <w:b/>
          <w:sz w:val="28"/>
          <w:szCs w:val="28"/>
        </w:rPr>
        <w:t>THE ANNUAL REPORT OF THE HEAD OF INTERNAL AUDIT FOR THE YEAR ENDED 31 MARCH 2023</w:t>
      </w:r>
      <w:r w:rsidR="00DA1938" w:rsidRPr="00D44845">
        <w:rPr>
          <w:rFonts w:ascii="Arial" w:hAnsi="Arial" w:cs="Arial"/>
          <w:b/>
          <w:sz w:val="28"/>
          <w:szCs w:val="28"/>
        </w:rPr>
        <w:t xml:space="preserve"> </w:t>
      </w:r>
    </w:p>
    <w:p w14:paraId="67FF1C22" w14:textId="4779AA31" w:rsidR="00823FC0" w:rsidRPr="00823FC0" w:rsidRDefault="00DA1938" w:rsidP="00823FC0">
      <w:pPr>
        <w:tabs>
          <w:tab w:val="center" w:pos="1440"/>
          <w:tab w:val="center" w:pos="4195"/>
        </w:tabs>
        <w:spacing w:after="5" w:line="250" w:lineRule="auto"/>
        <w:ind w:left="-15"/>
        <w:rPr>
          <w:rFonts w:ascii="Arial" w:eastAsia="Arial" w:hAnsi="Arial" w:cs="Arial"/>
          <w:color w:val="000000"/>
          <w:sz w:val="24"/>
          <w:lang w:eastAsia="en-GB"/>
        </w:rPr>
      </w:pPr>
      <w:r w:rsidRPr="00DA1938">
        <w:rPr>
          <w:rFonts w:ascii="Arial" w:hAnsi="Arial" w:cs="Arial"/>
          <w:sz w:val="24"/>
          <w:szCs w:val="24"/>
        </w:rPr>
        <w:t xml:space="preserve">Contact for further information: </w:t>
      </w:r>
      <w:r w:rsidR="00D44845">
        <w:rPr>
          <w:rFonts w:ascii="Arial" w:hAnsi="Arial" w:cs="Arial"/>
          <w:sz w:val="24"/>
          <w:szCs w:val="24"/>
        </w:rPr>
        <w:t>Andrew</w:t>
      </w:r>
      <w:r w:rsidR="00823FC0">
        <w:rPr>
          <w:rFonts w:ascii="Arial" w:hAnsi="Arial" w:cs="Arial"/>
          <w:sz w:val="24"/>
          <w:szCs w:val="24"/>
        </w:rPr>
        <w:t xml:space="preserve"> </w:t>
      </w:r>
      <w:proofErr w:type="spellStart"/>
      <w:r w:rsidR="00823FC0">
        <w:rPr>
          <w:rFonts w:ascii="Arial" w:hAnsi="Arial" w:cs="Arial"/>
          <w:sz w:val="24"/>
          <w:szCs w:val="24"/>
        </w:rPr>
        <w:t>Dalecki</w:t>
      </w:r>
      <w:proofErr w:type="spellEnd"/>
      <w:r w:rsidRPr="00DA1938">
        <w:rPr>
          <w:rFonts w:ascii="Arial" w:hAnsi="Arial" w:cs="Arial"/>
          <w:sz w:val="24"/>
          <w:szCs w:val="24"/>
        </w:rPr>
        <w:t xml:space="preserve">, </w:t>
      </w:r>
      <w:r w:rsidR="00823FC0" w:rsidRPr="00823FC0">
        <w:rPr>
          <w:rFonts w:ascii="Arial" w:eastAsia="Arial" w:hAnsi="Arial" w:cs="Arial"/>
          <w:color w:val="000000"/>
          <w:sz w:val="24"/>
          <w:lang w:eastAsia="en-GB"/>
        </w:rPr>
        <w:t>Internal Audit Manager</w:t>
      </w:r>
      <w:r w:rsidR="00823FC0">
        <w:rPr>
          <w:rFonts w:ascii="Arial" w:eastAsia="Arial" w:hAnsi="Arial" w:cs="Arial"/>
          <w:color w:val="000000"/>
          <w:sz w:val="24"/>
          <w:lang w:eastAsia="en-GB"/>
        </w:rPr>
        <w:t xml:space="preserve">, </w:t>
      </w:r>
      <w:r w:rsidR="00823FC0" w:rsidRPr="00823FC0">
        <w:rPr>
          <w:rFonts w:ascii="Arial" w:eastAsia="Arial" w:hAnsi="Arial" w:cs="Arial"/>
          <w:color w:val="000000"/>
          <w:sz w:val="24"/>
          <w:lang w:eastAsia="en-GB"/>
        </w:rPr>
        <w:t xml:space="preserve">Internal Audit Service  </w:t>
      </w:r>
    </w:p>
    <w:p w14:paraId="61769DDE" w14:textId="77777777" w:rsidR="00DA1938" w:rsidRPr="00DA1938" w:rsidRDefault="00DA1938" w:rsidP="00DA1938">
      <w:pPr>
        <w:ind w:left="709" w:hanging="709"/>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73"/>
      </w:tblGrid>
      <w:tr w:rsidR="00DA1938" w:rsidRPr="00DA1938" w14:paraId="57D80B8D" w14:textId="77777777" w:rsidTr="00F07C8F">
        <w:tc>
          <w:tcPr>
            <w:tcW w:w="10173" w:type="dxa"/>
          </w:tcPr>
          <w:p w14:paraId="1E9341DD" w14:textId="77777777" w:rsidR="00DA1938" w:rsidRPr="00D44845" w:rsidRDefault="00DA1938" w:rsidP="00DA1938">
            <w:pPr>
              <w:spacing w:after="0" w:line="240" w:lineRule="auto"/>
              <w:rPr>
                <w:rFonts w:ascii="Arial" w:hAnsi="Arial" w:cs="Arial"/>
                <w:b/>
                <w:bCs/>
                <w:sz w:val="24"/>
                <w:szCs w:val="24"/>
              </w:rPr>
            </w:pPr>
            <w:r w:rsidRPr="00D44845">
              <w:rPr>
                <w:rFonts w:ascii="Arial" w:hAnsi="Arial" w:cs="Arial"/>
                <w:b/>
                <w:bCs/>
                <w:sz w:val="24"/>
                <w:szCs w:val="24"/>
              </w:rPr>
              <w:t>EXECUTIVE SUMMARY</w:t>
            </w:r>
          </w:p>
          <w:p w14:paraId="12528A90" w14:textId="77777777" w:rsidR="00DA1938" w:rsidRPr="00D44845" w:rsidRDefault="00DA1938" w:rsidP="00DA1938">
            <w:pPr>
              <w:spacing w:after="0" w:line="240" w:lineRule="auto"/>
              <w:rPr>
                <w:rFonts w:ascii="Arial" w:hAnsi="Arial" w:cs="Arial"/>
                <w:sz w:val="24"/>
                <w:szCs w:val="24"/>
              </w:rPr>
            </w:pPr>
          </w:p>
          <w:p w14:paraId="01159CC5" w14:textId="1A44C6EB" w:rsidR="00F86CC1" w:rsidRPr="00D44845" w:rsidRDefault="00D44845" w:rsidP="00DA1938">
            <w:pPr>
              <w:spacing w:after="0" w:line="240" w:lineRule="auto"/>
              <w:rPr>
                <w:rFonts w:ascii="Arial" w:hAnsi="Arial" w:cs="Arial"/>
                <w:sz w:val="24"/>
                <w:szCs w:val="24"/>
              </w:rPr>
            </w:pPr>
            <w:r w:rsidRPr="00D44845">
              <w:rPr>
                <w:rFonts w:ascii="Arial" w:hAnsi="Arial" w:cs="Arial"/>
                <w:sz w:val="24"/>
                <w:szCs w:val="24"/>
              </w:rPr>
              <w:t>The Annual report of the head of internal audit for the year ended 31 March 2023.</w:t>
            </w:r>
          </w:p>
          <w:p w14:paraId="5B8FF3F8" w14:textId="77777777" w:rsidR="00D44845" w:rsidRPr="00D44845" w:rsidRDefault="00D44845" w:rsidP="00DA1938">
            <w:pPr>
              <w:spacing w:after="0" w:line="240" w:lineRule="auto"/>
              <w:rPr>
                <w:rFonts w:ascii="Arial" w:hAnsi="Arial" w:cs="Arial"/>
                <w:b/>
                <w:bCs/>
                <w:sz w:val="24"/>
                <w:szCs w:val="24"/>
              </w:rPr>
            </w:pPr>
          </w:p>
          <w:p w14:paraId="494C8645" w14:textId="77777777" w:rsidR="00DA1938" w:rsidRPr="00D44845" w:rsidRDefault="00DA1938" w:rsidP="00DA1938">
            <w:pPr>
              <w:spacing w:after="0" w:line="240" w:lineRule="auto"/>
              <w:rPr>
                <w:rFonts w:ascii="Arial" w:hAnsi="Arial" w:cs="Arial"/>
                <w:b/>
                <w:bCs/>
                <w:sz w:val="24"/>
                <w:szCs w:val="24"/>
              </w:rPr>
            </w:pPr>
            <w:r w:rsidRPr="00D44845">
              <w:rPr>
                <w:rFonts w:ascii="Arial" w:hAnsi="Arial" w:cs="Arial"/>
                <w:b/>
                <w:bCs/>
                <w:sz w:val="24"/>
                <w:szCs w:val="24"/>
              </w:rPr>
              <w:t>RECOMMENDATION</w:t>
            </w:r>
          </w:p>
          <w:p w14:paraId="17C7CF2C" w14:textId="77777777" w:rsidR="00DA1938" w:rsidRPr="00D44845" w:rsidRDefault="00DA1938" w:rsidP="00DA1938">
            <w:pPr>
              <w:spacing w:after="0" w:line="240" w:lineRule="auto"/>
              <w:rPr>
                <w:rFonts w:ascii="Arial" w:hAnsi="Arial" w:cs="Arial"/>
                <w:sz w:val="24"/>
                <w:szCs w:val="24"/>
              </w:rPr>
            </w:pPr>
          </w:p>
          <w:p w14:paraId="2B45349E" w14:textId="77777777" w:rsidR="00D44845" w:rsidRPr="00D44845" w:rsidRDefault="00D44845" w:rsidP="00D44845">
            <w:pPr>
              <w:spacing w:after="5" w:line="250" w:lineRule="auto"/>
              <w:ind w:right="43"/>
              <w:rPr>
                <w:rFonts w:ascii="Arial" w:eastAsia="Arial" w:hAnsi="Arial" w:cs="Arial"/>
                <w:color w:val="000000"/>
                <w:sz w:val="24"/>
                <w:szCs w:val="24"/>
                <w:lang w:eastAsia="en-GB"/>
              </w:rPr>
            </w:pPr>
            <w:r w:rsidRPr="00D44845">
              <w:rPr>
                <w:rFonts w:ascii="Arial" w:eastAsia="Arial" w:hAnsi="Arial" w:cs="Arial"/>
                <w:color w:val="000000"/>
                <w:sz w:val="24"/>
                <w:szCs w:val="24"/>
                <w:lang w:eastAsia="en-GB"/>
              </w:rPr>
              <w:t xml:space="preserve">In accordance with its terms of reference, the Committee is asked to note this report.  </w:t>
            </w:r>
          </w:p>
          <w:p w14:paraId="72A8FBFD" w14:textId="2D01707D" w:rsidR="00DA1938" w:rsidRPr="00D44845" w:rsidRDefault="00DA1938" w:rsidP="00F86CC1">
            <w:pPr>
              <w:autoSpaceDE w:val="0"/>
              <w:autoSpaceDN w:val="0"/>
              <w:adjustRightInd w:val="0"/>
              <w:rPr>
                <w:rFonts w:ascii="Arial" w:hAnsi="Arial" w:cs="Arial"/>
                <w:sz w:val="24"/>
                <w:szCs w:val="24"/>
              </w:rPr>
            </w:pPr>
          </w:p>
        </w:tc>
      </w:tr>
    </w:tbl>
    <w:p w14:paraId="163FF6C5" w14:textId="77777777" w:rsidR="00DA1938" w:rsidRPr="00DA1938" w:rsidRDefault="00DA1938" w:rsidP="00DA1938">
      <w:pPr>
        <w:rPr>
          <w:rFonts w:ascii="Arial" w:hAnsi="Arial" w:cs="Arial"/>
          <w:b/>
          <w:sz w:val="24"/>
          <w:szCs w:val="24"/>
        </w:rPr>
      </w:pPr>
    </w:p>
    <w:p w14:paraId="6E2E191B" w14:textId="79860702" w:rsidR="00D44845" w:rsidRPr="00D44845" w:rsidRDefault="00DA1938" w:rsidP="00D44845">
      <w:pPr>
        <w:numPr>
          <w:ilvl w:val="0"/>
          <w:numId w:val="1"/>
        </w:numPr>
        <w:autoSpaceDE w:val="0"/>
        <w:autoSpaceDN w:val="0"/>
        <w:adjustRightInd w:val="0"/>
        <w:spacing w:after="0" w:line="240" w:lineRule="auto"/>
        <w:contextualSpacing/>
        <w:rPr>
          <w:rFonts w:ascii="Arial" w:hAnsi="Arial" w:cs="Arial"/>
          <w:b/>
          <w:color w:val="000000"/>
          <w:sz w:val="24"/>
          <w:szCs w:val="24"/>
        </w:rPr>
      </w:pPr>
      <w:r w:rsidRPr="00D44845">
        <w:rPr>
          <w:rFonts w:ascii="Arial" w:hAnsi="Arial" w:cs="Arial"/>
          <w:b/>
          <w:color w:val="000000"/>
          <w:sz w:val="24"/>
          <w:szCs w:val="24"/>
        </w:rPr>
        <w:t>Background</w:t>
      </w:r>
    </w:p>
    <w:p w14:paraId="25C7CEA4" w14:textId="77777777" w:rsidR="00D44845" w:rsidRPr="00D44845" w:rsidRDefault="00D44845" w:rsidP="00D44845">
      <w:pPr>
        <w:autoSpaceDE w:val="0"/>
        <w:autoSpaceDN w:val="0"/>
        <w:adjustRightInd w:val="0"/>
        <w:spacing w:after="0" w:line="240" w:lineRule="auto"/>
        <w:ind w:left="360"/>
        <w:contextualSpacing/>
        <w:rPr>
          <w:rFonts w:ascii="Arial" w:hAnsi="Arial" w:cs="Arial"/>
          <w:b/>
          <w:color w:val="000000"/>
          <w:sz w:val="24"/>
          <w:szCs w:val="24"/>
        </w:rPr>
      </w:pPr>
    </w:p>
    <w:p w14:paraId="7AAA58ED" w14:textId="742272A2" w:rsidR="00D44845" w:rsidRPr="00D44845" w:rsidRDefault="00D44845" w:rsidP="00D44845">
      <w:pPr>
        <w:numPr>
          <w:ilvl w:val="1"/>
          <w:numId w:val="1"/>
        </w:numPr>
        <w:autoSpaceDE w:val="0"/>
        <w:autoSpaceDN w:val="0"/>
        <w:adjustRightInd w:val="0"/>
        <w:spacing w:after="0" w:line="240" w:lineRule="auto"/>
        <w:contextualSpacing/>
        <w:rPr>
          <w:rFonts w:ascii="Arial" w:hAnsi="Arial" w:cs="Arial"/>
          <w:b/>
          <w:color w:val="000000"/>
          <w:sz w:val="24"/>
          <w:szCs w:val="24"/>
        </w:rPr>
      </w:pPr>
      <w:r w:rsidRPr="00D44845">
        <w:rPr>
          <w:rFonts w:ascii="Arial" w:hAnsi="Arial" w:cs="Arial"/>
          <w:sz w:val="24"/>
          <w:szCs w:val="24"/>
          <w:lang w:eastAsia="en-GB"/>
        </w:rPr>
        <w:t xml:space="preserve">The Internal Audit Service complies with the professional standards of the Chartered Institute of Public Finance and Accountancy, which established Public Sector Internal Audit Standards. These are drawn from the Chartered Institute of Internal Auditors' International Professional Practices Framework, comprising a definition of internal auditing, a Code of Ethics, and International Standards. </w:t>
      </w:r>
    </w:p>
    <w:p w14:paraId="6894987A" w14:textId="77777777" w:rsidR="00D44845" w:rsidRPr="00D44845" w:rsidRDefault="00D44845" w:rsidP="00D44845">
      <w:pPr>
        <w:autoSpaceDE w:val="0"/>
        <w:autoSpaceDN w:val="0"/>
        <w:adjustRightInd w:val="0"/>
        <w:spacing w:after="0" w:line="240" w:lineRule="auto"/>
        <w:ind w:left="792"/>
        <w:contextualSpacing/>
        <w:rPr>
          <w:rFonts w:ascii="Arial" w:hAnsi="Arial" w:cs="Arial"/>
          <w:b/>
          <w:color w:val="000000"/>
          <w:sz w:val="24"/>
          <w:szCs w:val="24"/>
        </w:rPr>
      </w:pPr>
    </w:p>
    <w:p w14:paraId="34045873" w14:textId="77777777" w:rsidR="003451A1" w:rsidRDefault="00D44845" w:rsidP="003451A1">
      <w:pPr>
        <w:numPr>
          <w:ilvl w:val="1"/>
          <w:numId w:val="1"/>
        </w:numPr>
        <w:autoSpaceDE w:val="0"/>
        <w:autoSpaceDN w:val="0"/>
        <w:adjustRightInd w:val="0"/>
        <w:spacing w:after="0" w:line="240" w:lineRule="auto"/>
        <w:contextualSpacing/>
        <w:rPr>
          <w:rFonts w:ascii="Arial" w:hAnsi="Arial" w:cs="Arial"/>
          <w:b/>
          <w:color w:val="000000"/>
          <w:sz w:val="24"/>
          <w:szCs w:val="24"/>
        </w:rPr>
      </w:pPr>
      <w:r w:rsidRPr="00D44845">
        <w:rPr>
          <w:rFonts w:ascii="Arial" w:hAnsi="Arial" w:cs="Arial"/>
          <w:sz w:val="24"/>
          <w:szCs w:val="24"/>
          <w:lang w:eastAsia="en-GB"/>
        </w:rPr>
        <w:t xml:space="preserve">The Public Sector Internal Audit Standards and supporting Local Government Application Note require a head of internal audit to deliver an annual opinion and report. The opinion should address the overall adequacy and effectiveness of the organisation’s framework of governance, risk management and control and should be used to inform the governance statement. The annual internal audit report must incorporate the opinion, a summary of the work that supports that opinion, a statement on conformance with the Public Sector Internal Audit Standards and the results of the quality assurance and improvement programme. </w:t>
      </w:r>
    </w:p>
    <w:p w14:paraId="25C21077" w14:textId="77777777" w:rsidR="003451A1" w:rsidRDefault="003451A1" w:rsidP="003451A1">
      <w:pPr>
        <w:pStyle w:val="NoSpacing"/>
      </w:pPr>
    </w:p>
    <w:p w14:paraId="45B598DD" w14:textId="195A3087" w:rsidR="003451A1" w:rsidRPr="003451A1" w:rsidRDefault="003451A1" w:rsidP="003451A1">
      <w:pPr>
        <w:numPr>
          <w:ilvl w:val="1"/>
          <w:numId w:val="1"/>
        </w:numPr>
        <w:autoSpaceDE w:val="0"/>
        <w:autoSpaceDN w:val="0"/>
        <w:adjustRightInd w:val="0"/>
        <w:spacing w:after="0" w:line="240" w:lineRule="auto"/>
        <w:contextualSpacing/>
        <w:rPr>
          <w:rFonts w:ascii="Arial" w:hAnsi="Arial" w:cs="Arial"/>
          <w:b/>
          <w:color w:val="000000"/>
          <w:sz w:val="24"/>
          <w:szCs w:val="24"/>
        </w:rPr>
      </w:pPr>
      <w:r w:rsidRPr="003451A1">
        <w:rPr>
          <w:rFonts w:ascii="Arial" w:hAnsi="Arial" w:cs="Arial"/>
          <w:sz w:val="24"/>
          <w:szCs w:val="24"/>
        </w:rPr>
        <w:t>The attached report summarises the work performed by the Internal Audit Service during 2022/23 and 2023/24 in relation to the 2022/23 internal audit programme.</w:t>
      </w:r>
    </w:p>
    <w:p w14:paraId="564F928A" w14:textId="77777777" w:rsidR="003451A1" w:rsidRPr="003451A1" w:rsidRDefault="003451A1" w:rsidP="00AC1F2B">
      <w:pPr>
        <w:pStyle w:val="NoSpacing"/>
        <w:rPr>
          <w:rFonts w:ascii="Arial" w:hAnsi="Arial" w:cs="Arial"/>
          <w:sz w:val="24"/>
          <w:szCs w:val="24"/>
          <w:lang w:eastAsia="en-GB"/>
        </w:rPr>
      </w:pPr>
    </w:p>
    <w:p w14:paraId="13F06EC0" w14:textId="77777777" w:rsidR="007929E5" w:rsidRPr="007929E5" w:rsidRDefault="00D44845" w:rsidP="007929E5">
      <w:pPr>
        <w:numPr>
          <w:ilvl w:val="1"/>
          <w:numId w:val="1"/>
        </w:numPr>
        <w:autoSpaceDE w:val="0"/>
        <w:autoSpaceDN w:val="0"/>
        <w:adjustRightInd w:val="0"/>
        <w:spacing w:after="0" w:line="240" w:lineRule="auto"/>
        <w:contextualSpacing/>
        <w:rPr>
          <w:rFonts w:ascii="Arial" w:hAnsi="Arial" w:cs="Arial"/>
          <w:b/>
          <w:color w:val="000000"/>
          <w:sz w:val="24"/>
          <w:szCs w:val="24"/>
        </w:rPr>
      </w:pPr>
      <w:r w:rsidRPr="00D44845">
        <w:rPr>
          <w:rFonts w:ascii="Arial" w:eastAsia="Arial" w:hAnsi="Arial" w:cs="Arial"/>
          <w:color w:val="000000"/>
          <w:sz w:val="24"/>
          <w:lang w:eastAsia="en-GB"/>
        </w:rPr>
        <w:t xml:space="preserve">The opinion of the head of internal audit is that the Committee can take moderate assurance that Lancashire Constabulary and the Office of the Police and Crime Commissioner for Lancashire operates a generally sound system of risk management, </w:t>
      </w:r>
      <w:proofErr w:type="gramStart"/>
      <w:r w:rsidRPr="00D44845">
        <w:rPr>
          <w:rFonts w:ascii="Arial" w:eastAsia="Arial" w:hAnsi="Arial" w:cs="Arial"/>
          <w:color w:val="000000"/>
          <w:sz w:val="24"/>
          <w:lang w:eastAsia="en-GB"/>
        </w:rPr>
        <w:t>governance</w:t>
      </w:r>
      <w:proofErr w:type="gramEnd"/>
      <w:r w:rsidRPr="00D44845">
        <w:rPr>
          <w:rFonts w:ascii="Arial" w:eastAsia="Arial" w:hAnsi="Arial" w:cs="Arial"/>
          <w:color w:val="000000"/>
          <w:sz w:val="24"/>
          <w:lang w:eastAsia="en-GB"/>
        </w:rPr>
        <w:t xml:space="preserve"> and internal control.</w:t>
      </w:r>
    </w:p>
    <w:p w14:paraId="09D574C6" w14:textId="77777777" w:rsidR="007929E5" w:rsidRDefault="007929E5" w:rsidP="007929E5">
      <w:pPr>
        <w:pStyle w:val="ListParagraph"/>
        <w:rPr>
          <w:rFonts w:ascii="Arial" w:eastAsia="Arial" w:hAnsi="Arial" w:cs="Arial"/>
          <w:color w:val="000000"/>
          <w:sz w:val="24"/>
          <w:lang w:eastAsia="en-GB"/>
        </w:rPr>
      </w:pPr>
    </w:p>
    <w:p w14:paraId="16278D89" w14:textId="5CED8C2C" w:rsidR="00D44845" w:rsidRPr="007929E5" w:rsidRDefault="00D44845" w:rsidP="007929E5">
      <w:pPr>
        <w:numPr>
          <w:ilvl w:val="1"/>
          <w:numId w:val="1"/>
        </w:numPr>
        <w:autoSpaceDE w:val="0"/>
        <w:autoSpaceDN w:val="0"/>
        <w:adjustRightInd w:val="0"/>
        <w:spacing w:after="0" w:line="240" w:lineRule="auto"/>
        <w:contextualSpacing/>
        <w:rPr>
          <w:rFonts w:ascii="Arial" w:hAnsi="Arial" w:cs="Arial"/>
          <w:b/>
          <w:color w:val="000000"/>
          <w:sz w:val="24"/>
          <w:szCs w:val="24"/>
        </w:rPr>
      </w:pPr>
      <w:r w:rsidRPr="00D44845">
        <w:rPr>
          <w:rFonts w:ascii="Arial" w:eastAsia="Arial" w:hAnsi="Arial" w:cs="Arial"/>
          <w:color w:val="000000"/>
          <w:sz w:val="24"/>
          <w:lang w:eastAsia="en-GB"/>
        </w:rPr>
        <w:lastRenderedPageBreak/>
        <w:t xml:space="preserve">Internal audit assurance is stated in the following terms: </w:t>
      </w:r>
    </w:p>
    <w:p w14:paraId="1F1AE6BD" w14:textId="77777777" w:rsidR="007929E5" w:rsidRDefault="007929E5" w:rsidP="007929E5">
      <w:pPr>
        <w:pStyle w:val="ListParagraph"/>
        <w:rPr>
          <w:rFonts w:ascii="Arial" w:hAnsi="Arial" w:cs="Arial"/>
          <w:b/>
          <w:color w:val="000000"/>
          <w:sz w:val="24"/>
          <w:szCs w:val="24"/>
        </w:rPr>
      </w:pPr>
    </w:p>
    <w:tbl>
      <w:tblPr>
        <w:tblStyle w:val="TableGrid"/>
        <w:tblW w:w="8224" w:type="dxa"/>
        <w:tblInd w:w="708" w:type="dxa"/>
        <w:tblCellMar>
          <w:left w:w="106" w:type="dxa"/>
          <w:right w:w="62" w:type="dxa"/>
        </w:tblCellMar>
        <w:tblLook w:val="04A0" w:firstRow="1" w:lastRow="0" w:firstColumn="1" w:lastColumn="0" w:noHBand="0" w:noVBand="1"/>
      </w:tblPr>
      <w:tblGrid>
        <w:gridCol w:w="8224"/>
      </w:tblGrid>
      <w:tr w:rsidR="00D44845" w:rsidRPr="00D44845" w14:paraId="4ADC6726" w14:textId="77777777" w:rsidTr="004E27DB">
        <w:trPr>
          <w:trHeight w:val="802"/>
        </w:trPr>
        <w:tc>
          <w:tcPr>
            <w:tcW w:w="8224" w:type="dxa"/>
            <w:tcBorders>
              <w:top w:val="single" w:sz="4" w:space="0" w:color="000000"/>
              <w:left w:val="single" w:sz="4" w:space="0" w:color="000000"/>
              <w:bottom w:val="single" w:sz="4" w:space="0" w:color="000000"/>
              <w:right w:val="single" w:sz="4" w:space="0" w:color="000000"/>
            </w:tcBorders>
            <w:vAlign w:val="center"/>
          </w:tcPr>
          <w:p w14:paraId="3405500A" w14:textId="77777777" w:rsidR="00D44845" w:rsidRPr="00D44845" w:rsidRDefault="00D44845" w:rsidP="00D44845">
            <w:pPr>
              <w:spacing w:line="259" w:lineRule="auto"/>
              <w:ind w:left="2" w:hanging="2"/>
              <w:rPr>
                <w:rFonts w:ascii="Arial" w:eastAsia="Arial" w:hAnsi="Arial" w:cs="Arial"/>
                <w:color w:val="000000"/>
                <w:sz w:val="24"/>
              </w:rPr>
            </w:pPr>
            <w:r w:rsidRPr="00D44845">
              <w:rPr>
                <w:rFonts w:ascii="Arial" w:eastAsia="Arial" w:hAnsi="Arial" w:cs="Arial"/>
                <w:b/>
                <w:color w:val="000000"/>
                <w:sz w:val="24"/>
              </w:rPr>
              <w:t xml:space="preserve">Substantial assurance: </w:t>
            </w:r>
            <w:r w:rsidRPr="00D44845">
              <w:rPr>
                <w:rFonts w:ascii="Arial" w:eastAsia="Arial" w:hAnsi="Arial" w:cs="Arial"/>
                <w:color w:val="000000"/>
                <w:sz w:val="24"/>
              </w:rPr>
              <w:t xml:space="preserve">the framework of control is adequately designed and/ or effectively operated overall.  </w:t>
            </w:r>
          </w:p>
        </w:tc>
      </w:tr>
      <w:tr w:rsidR="00D44845" w:rsidRPr="00D44845" w14:paraId="0A81DF45" w14:textId="77777777" w:rsidTr="004E27DB">
        <w:trPr>
          <w:trHeight w:val="1354"/>
        </w:trPr>
        <w:tc>
          <w:tcPr>
            <w:tcW w:w="8224" w:type="dxa"/>
            <w:tcBorders>
              <w:top w:val="single" w:sz="4" w:space="0" w:color="000000"/>
              <w:left w:val="single" w:sz="4" w:space="0" w:color="000000"/>
              <w:bottom w:val="single" w:sz="4" w:space="0" w:color="000000"/>
              <w:right w:val="single" w:sz="4" w:space="0" w:color="000000"/>
            </w:tcBorders>
            <w:vAlign w:val="center"/>
          </w:tcPr>
          <w:p w14:paraId="046DFCA4" w14:textId="77777777" w:rsidR="00D44845" w:rsidRPr="00D44845" w:rsidRDefault="00D44845" w:rsidP="00D44845">
            <w:pPr>
              <w:spacing w:line="259" w:lineRule="auto"/>
              <w:ind w:left="55"/>
              <w:rPr>
                <w:rFonts w:ascii="Arial" w:eastAsia="Arial" w:hAnsi="Arial" w:cs="Arial"/>
                <w:color w:val="000000"/>
                <w:sz w:val="24"/>
              </w:rPr>
            </w:pPr>
            <w:r w:rsidRPr="00D44845">
              <w:rPr>
                <w:rFonts w:ascii="Arial" w:eastAsia="Arial" w:hAnsi="Arial" w:cs="Arial"/>
                <w:b/>
                <w:color w:val="000000"/>
                <w:sz w:val="24"/>
              </w:rPr>
              <w:t>Moderate assurance:</w:t>
            </w:r>
            <w:r w:rsidRPr="00D44845">
              <w:rPr>
                <w:rFonts w:ascii="Arial" w:eastAsia="Arial" w:hAnsi="Arial" w:cs="Arial"/>
                <w:color w:val="000000"/>
                <w:sz w:val="24"/>
              </w:rPr>
              <w:t xml:space="preserve"> the framework of control is adequately designed and/ or effectively operated overall, but some action is required to enhance aspects of it and/ or ensure that it is effectively operated throughout the service, system or process. </w:t>
            </w:r>
          </w:p>
        </w:tc>
      </w:tr>
      <w:tr w:rsidR="00D44845" w:rsidRPr="00D44845" w14:paraId="62DC050B" w14:textId="77777777" w:rsidTr="004E27DB">
        <w:trPr>
          <w:trHeight w:val="1078"/>
        </w:trPr>
        <w:tc>
          <w:tcPr>
            <w:tcW w:w="8224" w:type="dxa"/>
            <w:tcBorders>
              <w:top w:val="single" w:sz="4" w:space="0" w:color="000000"/>
              <w:left w:val="single" w:sz="4" w:space="0" w:color="000000"/>
              <w:bottom w:val="single" w:sz="4" w:space="0" w:color="000000"/>
              <w:right w:val="single" w:sz="4" w:space="0" w:color="000000"/>
            </w:tcBorders>
            <w:vAlign w:val="center"/>
          </w:tcPr>
          <w:p w14:paraId="335F1CAE" w14:textId="77777777" w:rsidR="00D44845" w:rsidRPr="00D44845" w:rsidRDefault="00D44845" w:rsidP="00D44845">
            <w:pPr>
              <w:spacing w:line="259" w:lineRule="auto"/>
              <w:ind w:left="55"/>
              <w:rPr>
                <w:rFonts w:ascii="Arial" w:eastAsia="Arial" w:hAnsi="Arial" w:cs="Arial"/>
                <w:color w:val="000000"/>
                <w:sz w:val="24"/>
              </w:rPr>
            </w:pPr>
            <w:r w:rsidRPr="00D44845">
              <w:rPr>
                <w:rFonts w:ascii="Arial" w:eastAsia="Arial" w:hAnsi="Arial" w:cs="Arial"/>
                <w:b/>
                <w:color w:val="000000"/>
                <w:sz w:val="24"/>
              </w:rPr>
              <w:t xml:space="preserve">Limited assurance: </w:t>
            </w:r>
            <w:r w:rsidRPr="00D44845">
              <w:rPr>
                <w:rFonts w:ascii="Arial" w:eastAsia="Arial" w:hAnsi="Arial" w:cs="Arial"/>
                <w:color w:val="000000"/>
                <w:sz w:val="24"/>
              </w:rPr>
              <w:t>there are some significant weaknesses in the design and/ or operation of the framework of control that put the achievement of the service, system or process' objectives at risk.</w:t>
            </w:r>
            <w:r w:rsidRPr="00D44845">
              <w:rPr>
                <w:rFonts w:ascii="Arial" w:eastAsia="Arial" w:hAnsi="Arial" w:cs="Arial"/>
                <w:b/>
                <w:color w:val="000000"/>
                <w:sz w:val="24"/>
              </w:rPr>
              <w:t xml:space="preserve"> </w:t>
            </w:r>
          </w:p>
        </w:tc>
      </w:tr>
      <w:tr w:rsidR="00D44845" w:rsidRPr="00D44845" w14:paraId="61656046" w14:textId="77777777" w:rsidTr="004E27DB">
        <w:trPr>
          <w:trHeight w:val="1080"/>
        </w:trPr>
        <w:tc>
          <w:tcPr>
            <w:tcW w:w="8224" w:type="dxa"/>
            <w:tcBorders>
              <w:top w:val="single" w:sz="4" w:space="0" w:color="000000"/>
              <w:left w:val="single" w:sz="4" w:space="0" w:color="000000"/>
              <w:bottom w:val="single" w:sz="4" w:space="0" w:color="000000"/>
              <w:right w:val="single" w:sz="4" w:space="0" w:color="000000"/>
            </w:tcBorders>
            <w:vAlign w:val="center"/>
          </w:tcPr>
          <w:p w14:paraId="2DBA5BED" w14:textId="77777777" w:rsidR="00D44845" w:rsidRPr="00D44845" w:rsidRDefault="00D44845" w:rsidP="00D44845">
            <w:pPr>
              <w:spacing w:line="259" w:lineRule="auto"/>
              <w:ind w:left="55"/>
              <w:rPr>
                <w:rFonts w:ascii="Arial" w:eastAsia="Arial" w:hAnsi="Arial" w:cs="Arial"/>
                <w:color w:val="000000"/>
                <w:sz w:val="24"/>
              </w:rPr>
            </w:pPr>
            <w:r w:rsidRPr="00D44845">
              <w:rPr>
                <w:rFonts w:ascii="Arial" w:eastAsia="Arial" w:hAnsi="Arial" w:cs="Arial"/>
                <w:b/>
                <w:color w:val="000000"/>
                <w:sz w:val="24"/>
              </w:rPr>
              <w:t>No assurance:</w:t>
            </w:r>
            <w:r w:rsidRPr="00D44845">
              <w:rPr>
                <w:rFonts w:ascii="Arial" w:eastAsia="Arial" w:hAnsi="Arial" w:cs="Arial"/>
                <w:color w:val="000000"/>
                <w:sz w:val="24"/>
              </w:rPr>
              <w:t xml:space="preserve"> there are some fundamental weaknesses in the design and/ or operation of the framework of control that could result in failure to achieve the service, system or process' objectives.</w:t>
            </w:r>
            <w:r w:rsidRPr="00D44845">
              <w:rPr>
                <w:rFonts w:ascii="Arial" w:eastAsia="Arial" w:hAnsi="Arial" w:cs="Arial"/>
                <w:b/>
                <w:color w:val="000000"/>
                <w:sz w:val="24"/>
              </w:rPr>
              <w:t xml:space="preserve"> </w:t>
            </w:r>
          </w:p>
        </w:tc>
      </w:tr>
    </w:tbl>
    <w:p w14:paraId="67FB689A" w14:textId="77777777" w:rsidR="00F86CC1" w:rsidRPr="00F86CC1" w:rsidRDefault="00F86CC1" w:rsidP="00F86CC1">
      <w:pPr>
        <w:spacing w:after="0" w:line="240" w:lineRule="auto"/>
        <w:ind w:left="142"/>
        <w:rPr>
          <w:rFonts w:ascii="Calibri" w:eastAsia="Calibri" w:hAnsi="Calibri" w:cs="Calibri"/>
          <w:color w:val="000000"/>
          <w:sz w:val="24"/>
          <w:szCs w:val="24"/>
          <w:lang w:eastAsia="en-GB"/>
        </w:rPr>
      </w:pPr>
    </w:p>
    <w:p w14:paraId="091F6666" w14:textId="14A808BC" w:rsidR="00AC1F2B" w:rsidRPr="00AC1F2B" w:rsidRDefault="007929E5" w:rsidP="00AC1F2B">
      <w:pPr>
        <w:numPr>
          <w:ilvl w:val="0"/>
          <w:numId w:val="1"/>
        </w:numPr>
        <w:autoSpaceDE w:val="0"/>
        <w:autoSpaceDN w:val="0"/>
        <w:adjustRightInd w:val="0"/>
        <w:spacing w:after="0" w:line="240" w:lineRule="auto"/>
        <w:contextualSpacing/>
        <w:rPr>
          <w:rFonts w:ascii="Arial" w:hAnsi="Arial" w:cs="Arial"/>
          <w:b/>
          <w:color w:val="000000"/>
          <w:sz w:val="24"/>
          <w:szCs w:val="24"/>
        </w:rPr>
      </w:pPr>
      <w:r>
        <w:rPr>
          <w:rFonts w:ascii="Arial" w:hAnsi="Arial" w:cs="Arial"/>
          <w:b/>
          <w:color w:val="000000"/>
          <w:sz w:val="24"/>
          <w:szCs w:val="24"/>
        </w:rPr>
        <w:t>L</w:t>
      </w:r>
      <w:r w:rsidR="00F86CC1" w:rsidRPr="00AC1F2B">
        <w:rPr>
          <w:rFonts w:ascii="Arial" w:eastAsia="Calibri" w:hAnsi="Arial" w:cs="Arial"/>
          <w:b/>
          <w:color w:val="000000"/>
          <w:sz w:val="24"/>
          <w:szCs w:val="24"/>
          <w:lang w:eastAsia="en-GB"/>
        </w:rPr>
        <w:t>inks to the Police and Crime Plan</w:t>
      </w:r>
    </w:p>
    <w:p w14:paraId="0D63D82F" w14:textId="77777777" w:rsidR="00AC1F2B" w:rsidRDefault="00AC1F2B" w:rsidP="00AC1F2B">
      <w:pPr>
        <w:autoSpaceDE w:val="0"/>
        <w:autoSpaceDN w:val="0"/>
        <w:adjustRightInd w:val="0"/>
        <w:spacing w:after="0" w:line="240" w:lineRule="auto"/>
        <w:ind w:left="360"/>
        <w:contextualSpacing/>
        <w:rPr>
          <w:rFonts w:ascii="Arial" w:hAnsi="Arial" w:cs="Arial"/>
          <w:b/>
          <w:color w:val="000000"/>
          <w:sz w:val="24"/>
          <w:szCs w:val="24"/>
        </w:rPr>
      </w:pPr>
    </w:p>
    <w:p w14:paraId="4FA90DAC" w14:textId="237E5C79" w:rsidR="00AC1F2B" w:rsidRPr="00AC1F2B" w:rsidRDefault="00823FC0" w:rsidP="00AC1F2B">
      <w:pPr>
        <w:numPr>
          <w:ilvl w:val="1"/>
          <w:numId w:val="1"/>
        </w:numPr>
        <w:autoSpaceDE w:val="0"/>
        <w:autoSpaceDN w:val="0"/>
        <w:adjustRightInd w:val="0"/>
        <w:spacing w:after="0" w:line="240" w:lineRule="auto"/>
        <w:contextualSpacing/>
        <w:rPr>
          <w:rFonts w:ascii="Arial" w:hAnsi="Arial" w:cs="Arial"/>
          <w:b/>
          <w:color w:val="000000"/>
          <w:sz w:val="24"/>
          <w:szCs w:val="24"/>
        </w:rPr>
      </w:pPr>
      <w:r w:rsidRPr="00AC1F2B">
        <w:rPr>
          <w:rFonts w:ascii="Arial" w:hAnsi="Arial" w:cs="Arial"/>
          <w:sz w:val="24"/>
          <w:szCs w:val="24"/>
        </w:rPr>
        <w:t>The Joint Audit Committee provides a mechanism through which assurance can be sought and the public assured with regards to the probity, regularity and value for money of resources deployed in the pursuit of the Police and Crime Plan.</w:t>
      </w:r>
    </w:p>
    <w:p w14:paraId="41AE5165" w14:textId="77777777" w:rsidR="00AC1F2B" w:rsidRDefault="00AC1F2B" w:rsidP="00AC1F2B">
      <w:pPr>
        <w:autoSpaceDE w:val="0"/>
        <w:autoSpaceDN w:val="0"/>
        <w:adjustRightInd w:val="0"/>
        <w:spacing w:after="0" w:line="240" w:lineRule="auto"/>
        <w:ind w:left="792"/>
        <w:contextualSpacing/>
        <w:rPr>
          <w:rFonts w:ascii="Arial" w:hAnsi="Arial" w:cs="Arial"/>
          <w:b/>
          <w:color w:val="000000"/>
          <w:sz w:val="24"/>
          <w:szCs w:val="24"/>
        </w:rPr>
      </w:pPr>
    </w:p>
    <w:p w14:paraId="39B9C62C" w14:textId="26F45124" w:rsidR="00AC1F2B" w:rsidRPr="00AC1F2B" w:rsidRDefault="00F86CC1" w:rsidP="00AC1F2B">
      <w:pPr>
        <w:numPr>
          <w:ilvl w:val="0"/>
          <w:numId w:val="1"/>
        </w:numPr>
        <w:autoSpaceDE w:val="0"/>
        <w:autoSpaceDN w:val="0"/>
        <w:adjustRightInd w:val="0"/>
        <w:spacing w:after="0" w:line="240" w:lineRule="auto"/>
        <w:contextualSpacing/>
        <w:rPr>
          <w:rFonts w:ascii="Arial" w:hAnsi="Arial" w:cs="Arial"/>
          <w:b/>
          <w:color w:val="000000"/>
          <w:sz w:val="24"/>
          <w:szCs w:val="24"/>
        </w:rPr>
      </w:pPr>
      <w:r w:rsidRPr="00AC1F2B">
        <w:rPr>
          <w:rFonts w:ascii="Arial" w:eastAsia="Calibri" w:hAnsi="Arial" w:cs="Arial"/>
          <w:b/>
          <w:color w:val="000000"/>
          <w:sz w:val="24"/>
          <w:szCs w:val="24"/>
          <w:lang w:eastAsia="en-GB"/>
        </w:rPr>
        <w:t>Consultations</w:t>
      </w:r>
    </w:p>
    <w:p w14:paraId="05D98CAD" w14:textId="77777777" w:rsidR="00AC1F2B" w:rsidRDefault="00AC1F2B" w:rsidP="00AC1F2B">
      <w:pPr>
        <w:autoSpaceDE w:val="0"/>
        <w:autoSpaceDN w:val="0"/>
        <w:adjustRightInd w:val="0"/>
        <w:spacing w:after="0" w:line="240" w:lineRule="auto"/>
        <w:ind w:left="360"/>
        <w:contextualSpacing/>
        <w:rPr>
          <w:rFonts w:ascii="Arial" w:hAnsi="Arial" w:cs="Arial"/>
          <w:b/>
          <w:color w:val="000000"/>
          <w:sz w:val="24"/>
          <w:szCs w:val="24"/>
        </w:rPr>
      </w:pPr>
    </w:p>
    <w:p w14:paraId="32389541" w14:textId="3FC2A5F2" w:rsidR="00AC1F2B" w:rsidRPr="00AC1F2B" w:rsidRDefault="00F86CC1" w:rsidP="00AC1F2B">
      <w:pPr>
        <w:numPr>
          <w:ilvl w:val="1"/>
          <w:numId w:val="1"/>
        </w:numPr>
        <w:autoSpaceDE w:val="0"/>
        <w:autoSpaceDN w:val="0"/>
        <w:adjustRightInd w:val="0"/>
        <w:spacing w:after="0" w:line="240" w:lineRule="auto"/>
        <w:contextualSpacing/>
        <w:rPr>
          <w:rFonts w:ascii="Arial" w:hAnsi="Arial" w:cs="Arial"/>
          <w:b/>
          <w:color w:val="000000"/>
          <w:sz w:val="24"/>
          <w:szCs w:val="24"/>
        </w:rPr>
      </w:pPr>
      <w:r w:rsidRPr="00AC1F2B">
        <w:rPr>
          <w:rFonts w:ascii="Arial" w:eastAsia="Calibri" w:hAnsi="Arial" w:cs="Arial"/>
          <w:color w:val="000000"/>
          <w:sz w:val="24"/>
          <w:szCs w:val="24"/>
          <w:lang w:eastAsia="en-GB"/>
        </w:rPr>
        <w:t>None</w:t>
      </w:r>
    </w:p>
    <w:p w14:paraId="29650BC2" w14:textId="77777777" w:rsidR="00AC1F2B" w:rsidRDefault="00AC1F2B" w:rsidP="00AC1F2B">
      <w:pPr>
        <w:autoSpaceDE w:val="0"/>
        <w:autoSpaceDN w:val="0"/>
        <w:adjustRightInd w:val="0"/>
        <w:spacing w:after="0" w:line="240" w:lineRule="auto"/>
        <w:ind w:left="792"/>
        <w:contextualSpacing/>
        <w:rPr>
          <w:rFonts w:ascii="Arial" w:hAnsi="Arial" w:cs="Arial"/>
          <w:b/>
          <w:color w:val="000000"/>
          <w:sz w:val="24"/>
          <w:szCs w:val="24"/>
        </w:rPr>
      </w:pPr>
    </w:p>
    <w:p w14:paraId="356609B3" w14:textId="00C4A900" w:rsidR="00F86CC1" w:rsidRPr="00AC1F2B" w:rsidRDefault="00F86CC1" w:rsidP="00AC1F2B">
      <w:pPr>
        <w:numPr>
          <w:ilvl w:val="0"/>
          <w:numId w:val="1"/>
        </w:numPr>
        <w:autoSpaceDE w:val="0"/>
        <w:autoSpaceDN w:val="0"/>
        <w:adjustRightInd w:val="0"/>
        <w:spacing w:after="0" w:line="240" w:lineRule="auto"/>
        <w:contextualSpacing/>
        <w:rPr>
          <w:rFonts w:ascii="Arial" w:hAnsi="Arial" w:cs="Arial"/>
          <w:b/>
          <w:color w:val="000000"/>
          <w:sz w:val="24"/>
          <w:szCs w:val="24"/>
        </w:rPr>
      </w:pPr>
      <w:r w:rsidRPr="00AC1F2B">
        <w:rPr>
          <w:rFonts w:ascii="Arial" w:eastAsia="Calibri" w:hAnsi="Arial" w:cs="Arial"/>
          <w:b/>
          <w:color w:val="000000"/>
          <w:sz w:val="24"/>
          <w:szCs w:val="24"/>
          <w:lang w:eastAsia="en-GB"/>
        </w:rPr>
        <w:t>Implications</w:t>
      </w:r>
    </w:p>
    <w:p w14:paraId="268EDE3D" w14:textId="77777777" w:rsidR="00F86CC1" w:rsidRPr="00F86CC1" w:rsidRDefault="00F86CC1" w:rsidP="00F86CC1">
      <w:pPr>
        <w:numPr>
          <w:ilvl w:val="1"/>
          <w:numId w:val="3"/>
        </w:numPr>
        <w:ind w:left="709"/>
        <w:jc w:val="both"/>
        <w:rPr>
          <w:rFonts w:ascii="Arial" w:eastAsia="Calibri" w:hAnsi="Arial" w:cs="Arial"/>
          <w:b/>
          <w:color w:val="000000"/>
          <w:sz w:val="24"/>
          <w:szCs w:val="24"/>
          <w:lang w:eastAsia="en-GB"/>
        </w:rPr>
      </w:pPr>
      <w:r w:rsidRPr="00F86CC1">
        <w:rPr>
          <w:rFonts w:ascii="Arial" w:eastAsia="Calibri" w:hAnsi="Arial" w:cs="Arial"/>
          <w:b/>
          <w:color w:val="000000"/>
          <w:sz w:val="24"/>
          <w:szCs w:val="24"/>
          <w:lang w:eastAsia="en-GB"/>
        </w:rPr>
        <w:t>Legal</w:t>
      </w:r>
    </w:p>
    <w:p w14:paraId="51F08534" w14:textId="77777777" w:rsidR="00F86CC1" w:rsidRPr="00F86CC1" w:rsidRDefault="00F86CC1" w:rsidP="00F86CC1">
      <w:pPr>
        <w:ind w:left="709"/>
        <w:jc w:val="both"/>
        <w:rPr>
          <w:rFonts w:ascii="Arial" w:eastAsia="Calibri" w:hAnsi="Arial" w:cs="Arial"/>
          <w:color w:val="000000"/>
          <w:sz w:val="24"/>
          <w:szCs w:val="24"/>
          <w:lang w:eastAsia="en-GB"/>
        </w:rPr>
      </w:pPr>
      <w:r w:rsidRPr="00F86CC1">
        <w:rPr>
          <w:rFonts w:ascii="Arial" w:eastAsia="Calibri" w:hAnsi="Arial" w:cs="Arial"/>
          <w:color w:val="000000"/>
          <w:sz w:val="24"/>
          <w:szCs w:val="24"/>
          <w:lang w:eastAsia="en-GB"/>
        </w:rPr>
        <w:t>There are no legal comments associated with this paper.</w:t>
      </w:r>
    </w:p>
    <w:p w14:paraId="1332FAD4" w14:textId="77777777" w:rsidR="00F86CC1" w:rsidRPr="00F86CC1" w:rsidRDefault="00F86CC1" w:rsidP="00F86CC1">
      <w:pPr>
        <w:numPr>
          <w:ilvl w:val="1"/>
          <w:numId w:val="3"/>
        </w:numPr>
        <w:ind w:left="709"/>
        <w:jc w:val="both"/>
        <w:rPr>
          <w:rFonts w:ascii="Arial" w:eastAsia="Calibri" w:hAnsi="Arial" w:cs="Arial"/>
          <w:b/>
          <w:color w:val="000000"/>
          <w:sz w:val="24"/>
          <w:szCs w:val="24"/>
          <w:lang w:eastAsia="en-GB"/>
        </w:rPr>
      </w:pPr>
      <w:r w:rsidRPr="00F86CC1">
        <w:rPr>
          <w:rFonts w:ascii="Arial" w:eastAsia="Calibri" w:hAnsi="Arial" w:cs="Arial"/>
          <w:b/>
          <w:color w:val="000000"/>
          <w:sz w:val="24"/>
          <w:szCs w:val="24"/>
          <w:lang w:eastAsia="en-GB"/>
        </w:rPr>
        <w:t>Financial</w:t>
      </w:r>
    </w:p>
    <w:p w14:paraId="5FF35A9C" w14:textId="3632B33B" w:rsidR="000031C1" w:rsidRPr="000031C1" w:rsidRDefault="00823FC0" w:rsidP="000031C1">
      <w:pPr>
        <w:ind w:left="709"/>
        <w:rPr>
          <w:rFonts w:ascii="Arial" w:eastAsia="Calibri" w:hAnsi="Arial" w:cs="Arial"/>
          <w:color w:val="000000"/>
          <w:sz w:val="24"/>
          <w:szCs w:val="24"/>
          <w:lang w:eastAsia="en-GB"/>
        </w:rPr>
      </w:pPr>
      <w:r>
        <w:rPr>
          <w:rFonts w:ascii="Arial" w:eastAsia="Calibri" w:hAnsi="Arial" w:cs="Arial"/>
          <w:color w:val="000000"/>
          <w:sz w:val="24"/>
          <w:szCs w:val="24"/>
          <w:lang w:eastAsia="en-GB"/>
        </w:rPr>
        <w:t>There are no financial</w:t>
      </w:r>
      <w:r w:rsidR="005C6A34">
        <w:rPr>
          <w:rFonts w:ascii="Arial" w:eastAsia="Calibri" w:hAnsi="Arial" w:cs="Arial"/>
          <w:color w:val="000000"/>
          <w:sz w:val="24"/>
          <w:szCs w:val="24"/>
          <w:lang w:eastAsia="en-GB"/>
        </w:rPr>
        <w:t xml:space="preserve"> implications in considering this report</w:t>
      </w:r>
      <w:r w:rsidR="000031C1" w:rsidRPr="000031C1">
        <w:rPr>
          <w:rFonts w:ascii="Arial" w:eastAsia="Calibri" w:hAnsi="Arial" w:cs="Arial"/>
          <w:color w:val="000000"/>
          <w:sz w:val="24"/>
          <w:szCs w:val="24"/>
          <w:lang w:eastAsia="en-GB"/>
        </w:rPr>
        <w:t>.</w:t>
      </w:r>
    </w:p>
    <w:p w14:paraId="507BAC43" w14:textId="77777777" w:rsidR="00F86CC1" w:rsidRPr="00F86CC1" w:rsidRDefault="00F86CC1" w:rsidP="00F86CC1">
      <w:pPr>
        <w:numPr>
          <w:ilvl w:val="1"/>
          <w:numId w:val="3"/>
        </w:numPr>
        <w:ind w:left="709"/>
        <w:jc w:val="both"/>
        <w:rPr>
          <w:rFonts w:ascii="Arial" w:eastAsia="Calibri" w:hAnsi="Arial" w:cs="Arial"/>
          <w:b/>
          <w:color w:val="000000"/>
          <w:sz w:val="24"/>
          <w:szCs w:val="24"/>
          <w:lang w:eastAsia="en-GB"/>
        </w:rPr>
      </w:pPr>
      <w:r w:rsidRPr="00F86CC1">
        <w:rPr>
          <w:rFonts w:ascii="Arial" w:eastAsia="Calibri" w:hAnsi="Arial" w:cs="Arial"/>
          <w:b/>
          <w:color w:val="000000"/>
          <w:sz w:val="24"/>
          <w:szCs w:val="24"/>
          <w:lang w:eastAsia="en-GB"/>
        </w:rPr>
        <w:t>Equality considerations</w:t>
      </w:r>
    </w:p>
    <w:p w14:paraId="338C6E0B" w14:textId="0C7CB9FD" w:rsidR="00F86CC1" w:rsidRPr="00F86CC1" w:rsidRDefault="00F86CC1" w:rsidP="00F86CC1">
      <w:pPr>
        <w:ind w:left="709"/>
        <w:jc w:val="both"/>
        <w:rPr>
          <w:rFonts w:ascii="Arial" w:eastAsia="Calibri" w:hAnsi="Arial" w:cs="Arial"/>
          <w:color w:val="000000"/>
          <w:sz w:val="24"/>
          <w:szCs w:val="24"/>
          <w:lang w:eastAsia="en-GB"/>
        </w:rPr>
      </w:pPr>
      <w:r w:rsidRPr="00F86CC1">
        <w:rPr>
          <w:rFonts w:ascii="Arial" w:eastAsia="Calibri" w:hAnsi="Arial" w:cs="Arial"/>
          <w:color w:val="000000"/>
          <w:sz w:val="24"/>
          <w:szCs w:val="24"/>
          <w:lang w:eastAsia="en-GB"/>
        </w:rPr>
        <w:t xml:space="preserve">There are no direct Equality implications in the </w:t>
      </w:r>
      <w:r w:rsidR="005C6A34">
        <w:rPr>
          <w:rFonts w:ascii="Arial" w:eastAsia="Calibri" w:hAnsi="Arial" w:cs="Arial"/>
          <w:color w:val="000000"/>
          <w:sz w:val="24"/>
          <w:szCs w:val="24"/>
          <w:lang w:eastAsia="en-GB"/>
        </w:rPr>
        <w:t>consideration of this report</w:t>
      </w:r>
      <w:r w:rsidRPr="00F86CC1">
        <w:rPr>
          <w:rFonts w:ascii="Arial" w:eastAsia="Calibri" w:hAnsi="Arial" w:cs="Arial"/>
          <w:color w:val="000000"/>
          <w:sz w:val="24"/>
          <w:szCs w:val="24"/>
          <w:lang w:eastAsia="en-GB"/>
        </w:rPr>
        <w:t>.</w:t>
      </w:r>
    </w:p>
    <w:p w14:paraId="2D665E75" w14:textId="77777777" w:rsidR="00F86CC1" w:rsidRPr="00F86CC1" w:rsidRDefault="00F86CC1" w:rsidP="00F86CC1">
      <w:pPr>
        <w:numPr>
          <w:ilvl w:val="1"/>
          <w:numId w:val="3"/>
        </w:numPr>
        <w:ind w:left="709"/>
        <w:jc w:val="both"/>
        <w:rPr>
          <w:rFonts w:ascii="Arial" w:eastAsia="Calibri" w:hAnsi="Arial" w:cs="Arial"/>
          <w:b/>
          <w:color w:val="000000"/>
          <w:sz w:val="24"/>
          <w:szCs w:val="24"/>
          <w:lang w:eastAsia="en-GB"/>
        </w:rPr>
      </w:pPr>
      <w:r w:rsidRPr="00F86CC1">
        <w:rPr>
          <w:rFonts w:ascii="Arial" w:eastAsia="Calibri" w:hAnsi="Arial" w:cs="Arial"/>
          <w:b/>
          <w:color w:val="000000"/>
          <w:sz w:val="24"/>
          <w:szCs w:val="24"/>
          <w:lang w:eastAsia="en-GB"/>
        </w:rPr>
        <w:t>Data Protection Impact Assessment</w:t>
      </w:r>
    </w:p>
    <w:p w14:paraId="4B428CC3" w14:textId="24606E13" w:rsidR="00F86CC1" w:rsidRDefault="00F86CC1" w:rsidP="00F86CC1">
      <w:pPr>
        <w:ind w:left="709"/>
        <w:jc w:val="both"/>
        <w:rPr>
          <w:rFonts w:ascii="Arial" w:eastAsia="Calibri" w:hAnsi="Arial" w:cs="Arial"/>
          <w:color w:val="000000"/>
          <w:sz w:val="24"/>
          <w:szCs w:val="24"/>
          <w:lang w:eastAsia="en-GB"/>
        </w:rPr>
      </w:pPr>
      <w:r w:rsidRPr="00F86CC1">
        <w:rPr>
          <w:rFonts w:ascii="Arial" w:eastAsia="Calibri" w:hAnsi="Arial" w:cs="Arial"/>
          <w:color w:val="000000"/>
          <w:sz w:val="24"/>
          <w:szCs w:val="24"/>
          <w:lang w:eastAsia="en-GB"/>
        </w:rPr>
        <w:t xml:space="preserve">There are no direct Data protection implications in </w:t>
      </w:r>
      <w:r w:rsidR="005C6A34" w:rsidRPr="00F86CC1">
        <w:rPr>
          <w:rFonts w:ascii="Arial" w:eastAsia="Calibri" w:hAnsi="Arial" w:cs="Arial"/>
          <w:color w:val="000000"/>
          <w:sz w:val="24"/>
          <w:szCs w:val="24"/>
          <w:lang w:eastAsia="en-GB"/>
        </w:rPr>
        <w:t xml:space="preserve">the </w:t>
      </w:r>
      <w:r w:rsidR="005C6A34">
        <w:rPr>
          <w:rFonts w:ascii="Arial" w:eastAsia="Calibri" w:hAnsi="Arial" w:cs="Arial"/>
          <w:color w:val="000000"/>
          <w:sz w:val="24"/>
          <w:szCs w:val="24"/>
          <w:lang w:eastAsia="en-GB"/>
        </w:rPr>
        <w:t>consideration of this report</w:t>
      </w:r>
      <w:r w:rsidRPr="00F86CC1">
        <w:rPr>
          <w:rFonts w:ascii="Arial" w:eastAsia="Calibri" w:hAnsi="Arial" w:cs="Arial"/>
          <w:color w:val="000000"/>
          <w:sz w:val="24"/>
          <w:szCs w:val="24"/>
          <w:lang w:eastAsia="en-GB"/>
        </w:rPr>
        <w:t>.</w:t>
      </w:r>
    </w:p>
    <w:p w14:paraId="4F2D4963" w14:textId="17653EC6" w:rsidR="00AC1F2B" w:rsidRPr="00AC1F2B" w:rsidRDefault="00AC1F2B" w:rsidP="00AC1F2B">
      <w:pPr>
        <w:numPr>
          <w:ilvl w:val="0"/>
          <w:numId w:val="1"/>
        </w:numPr>
        <w:autoSpaceDE w:val="0"/>
        <w:autoSpaceDN w:val="0"/>
        <w:adjustRightInd w:val="0"/>
        <w:spacing w:after="0" w:line="240" w:lineRule="auto"/>
        <w:contextualSpacing/>
        <w:rPr>
          <w:rFonts w:ascii="Arial" w:hAnsi="Arial" w:cs="Arial"/>
          <w:b/>
          <w:color w:val="000000"/>
          <w:sz w:val="24"/>
          <w:szCs w:val="24"/>
        </w:rPr>
      </w:pPr>
      <w:r>
        <w:rPr>
          <w:rFonts w:ascii="Arial" w:eastAsia="Calibri" w:hAnsi="Arial" w:cs="Arial"/>
          <w:b/>
          <w:color w:val="000000"/>
          <w:sz w:val="24"/>
          <w:szCs w:val="24"/>
          <w:lang w:eastAsia="en-GB"/>
        </w:rPr>
        <w:t>Risk</w:t>
      </w:r>
      <w:r>
        <w:rPr>
          <w:rFonts w:ascii="Arial" w:hAnsi="Arial" w:cs="Arial"/>
          <w:b/>
          <w:color w:val="000000"/>
          <w:sz w:val="24"/>
          <w:szCs w:val="24"/>
        </w:rPr>
        <w:t xml:space="preserve"> </w:t>
      </w:r>
      <w:r w:rsidR="00F86CC1" w:rsidRPr="00AC1F2B">
        <w:rPr>
          <w:rFonts w:ascii="Arial" w:eastAsia="Calibri" w:hAnsi="Arial" w:cs="Arial"/>
          <w:b/>
          <w:color w:val="000000"/>
          <w:sz w:val="24"/>
          <w:szCs w:val="24"/>
          <w:lang w:eastAsia="en-GB"/>
        </w:rPr>
        <w:t>Management</w:t>
      </w:r>
    </w:p>
    <w:p w14:paraId="2225E34F" w14:textId="77777777" w:rsidR="00AC1F2B" w:rsidRDefault="00AC1F2B" w:rsidP="00AC1F2B">
      <w:pPr>
        <w:autoSpaceDE w:val="0"/>
        <w:autoSpaceDN w:val="0"/>
        <w:adjustRightInd w:val="0"/>
        <w:spacing w:after="0" w:line="240" w:lineRule="auto"/>
        <w:ind w:left="360"/>
        <w:contextualSpacing/>
        <w:rPr>
          <w:rFonts w:ascii="Arial" w:hAnsi="Arial" w:cs="Arial"/>
          <w:b/>
          <w:color w:val="000000"/>
          <w:sz w:val="24"/>
          <w:szCs w:val="24"/>
        </w:rPr>
      </w:pPr>
    </w:p>
    <w:p w14:paraId="106EA87F" w14:textId="29D25AC8" w:rsidR="00AC1F2B" w:rsidRPr="00AC1F2B" w:rsidRDefault="00F86CC1" w:rsidP="00AC1F2B">
      <w:pPr>
        <w:numPr>
          <w:ilvl w:val="1"/>
          <w:numId w:val="1"/>
        </w:numPr>
        <w:autoSpaceDE w:val="0"/>
        <w:autoSpaceDN w:val="0"/>
        <w:adjustRightInd w:val="0"/>
        <w:spacing w:after="0" w:line="240" w:lineRule="auto"/>
        <w:contextualSpacing/>
        <w:rPr>
          <w:rFonts w:ascii="Arial" w:hAnsi="Arial" w:cs="Arial"/>
          <w:b/>
          <w:color w:val="000000"/>
          <w:sz w:val="24"/>
          <w:szCs w:val="24"/>
        </w:rPr>
      </w:pPr>
      <w:r w:rsidRPr="00AC1F2B">
        <w:rPr>
          <w:rFonts w:ascii="Arial" w:eastAsia="Calibri" w:hAnsi="Arial" w:cs="Arial"/>
          <w:bCs/>
          <w:color w:val="000000"/>
          <w:sz w:val="24"/>
          <w:szCs w:val="24"/>
          <w:lang w:eastAsia="en-GB"/>
        </w:rPr>
        <w:t>None</w:t>
      </w:r>
    </w:p>
    <w:p w14:paraId="05F16E2C" w14:textId="77777777" w:rsidR="00AC1F2B" w:rsidRDefault="00AC1F2B" w:rsidP="00AC1F2B">
      <w:pPr>
        <w:autoSpaceDE w:val="0"/>
        <w:autoSpaceDN w:val="0"/>
        <w:adjustRightInd w:val="0"/>
        <w:spacing w:after="0" w:line="240" w:lineRule="auto"/>
        <w:ind w:left="792"/>
        <w:contextualSpacing/>
        <w:rPr>
          <w:rFonts w:ascii="Arial" w:hAnsi="Arial" w:cs="Arial"/>
          <w:b/>
          <w:color w:val="000000"/>
          <w:sz w:val="24"/>
          <w:szCs w:val="24"/>
        </w:rPr>
      </w:pPr>
    </w:p>
    <w:p w14:paraId="76FC81D9" w14:textId="500E6388" w:rsidR="003451A1" w:rsidRPr="003451A1" w:rsidRDefault="00F86CC1" w:rsidP="003451A1">
      <w:pPr>
        <w:numPr>
          <w:ilvl w:val="0"/>
          <w:numId w:val="1"/>
        </w:numPr>
        <w:autoSpaceDE w:val="0"/>
        <w:autoSpaceDN w:val="0"/>
        <w:adjustRightInd w:val="0"/>
        <w:spacing w:after="0" w:line="240" w:lineRule="auto"/>
        <w:contextualSpacing/>
        <w:rPr>
          <w:rFonts w:ascii="Arial" w:hAnsi="Arial" w:cs="Arial"/>
          <w:b/>
          <w:color w:val="000000"/>
          <w:sz w:val="24"/>
          <w:szCs w:val="24"/>
        </w:rPr>
      </w:pPr>
      <w:r w:rsidRPr="00AC1F2B">
        <w:rPr>
          <w:rFonts w:ascii="Arial" w:eastAsia="Calibri" w:hAnsi="Arial" w:cs="Arial"/>
          <w:b/>
          <w:color w:val="000000"/>
          <w:sz w:val="24"/>
          <w:szCs w:val="24"/>
          <w:lang w:eastAsia="en-GB"/>
        </w:rPr>
        <w:lastRenderedPageBreak/>
        <w:t>Background Papers</w:t>
      </w:r>
    </w:p>
    <w:p w14:paraId="530D426E" w14:textId="77777777" w:rsidR="003451A1" w:rsidRPr="003451A1" w:rsidRDefault="003451A1" w:rsidP="003451A1">
      <w:pPr>
        <w:autoSpaceDE w:val="0"/>
        <w:autoSpaceDN w:val="0"/>
        <w:adjustRightInd w:val="0"/>
        <w:spacing w:after="0" w:line="240" w:lineRule="auto"/>
        <w:ind w:left="360"/>
        <w:contextualSpacing/>
        <w:rPr>
          <w:rFonts w:ascii="Arial" w:hAnsi="Arial" w:cs="Arial"/>
          <w:b/>
          <w:color w:val="000000"/>
          <w:sz w:val="24"/>
          <w:szCs w:val="24"/>
        </w:rPr>
      </w:pPr>
    </w:p>
    <w:p w14:paraId="7A8627A5" w14:textId="3C2BCA4B" w:rsidR="003451A1" w:rsidRPr="003451A1" w:rsidRDefault="003451A1" w:rsidP="003451A1">
      <w:pPr>
        <w:numPr>
          <w:ilvl w:val="1"/>
          <w:numId w:val="1"/>
        </w:numPr>
        <w:autoSpaceDE w:val="0"/>
        <w:autoSpaceDN w:val="0"/>
        <w:adjustRightInd w:val="0"/>
        <w:spacing w:after="0" w:line="240" w:lineRule="auto"/>
        <w:contextualSpacing/>
        <w:rPr>
          <w:rFonts w:ascii="Arial" w:hAnsi="Arial" w:cs="Arial"/>
          <w:b/>
          <w:color w:val="000000"/>
          <w:sz w:val="24"/>
          <w:szCs w:val="24"/>
        </w:rPr>
      </w:pPr>
      <w:r w:rsidRPr="003451A1">
        <w:rPr>
          <w:rFonts w:ascii="Arial" w:hAnsi="Arial" w:cs="Arial"/>
          <w:sz w:val="24"/>
          <w:szCs w:val="24"/>
        </w:rPr>
        <w:t>Appendix A – Annual report of the head of internal audit for the year ended 31 March 2023.</w:t>
      </w:r>
    </w:p>
    <w:p w14:paraId="5EE10B94" w14:textId="77777777" w:rsidR="003451A1" w:rsidRDefault="003451A1" w:rsidP="00AC1F2B">
      <w:pPr>
        <w:autoSpaceDE w:val="0"/>
        <w:autoSpaceDN w:val="0"/>
        <w:adjustRightInd w:val="0"/>
        <w:spacing w:after="0" w:line="240" w:lineRule="auto"/>
        <w:ind w:left="360"/>
        <w:contextualSpacing/>
        <w:rPr>
          <w:rFonts w:ascii="Arial" w:hAnsi="Arial" w:cs="Arial"/>
          <w:b/>
          <w:color w:val="000000"/>
          <w:sz w:val="24"/>
          <w:szCs w:val="24"/>
        </w:rPr>
      </w:pPr>
    </w:p>
    <w:p w14:paraId="197639F5" w14:textId="27D50698" w:rsidR="00F86CC1" w:rsidRPr="00AC1F2B" w:rsidRDefault="00F86CC1" w:rsidP="00AC1F2B">
      <w:pPr>
        <w:numPr>
          <w:ilvl w:val="0"/>
          <w:numId w:val="1"/>
        </w:numPr>
        <w:autoSpaceDE w:val="0"/>
        <w:autoSpaceDN w:val="0"/>
        <w:adjustRightInd w:val="0"/>
        <w:spacing w:after="0" w:line="240" w:lineRule="auto"/>
        <w:contextualSpacing/>
        <w:rPr>
          <w:rFonts w:ascii="Arial" w:hAnsi="Arial" w:cs="Arial"/>
          <w:b/>
          <w:color w:val="000000"/>
          <w:sz w:val="24"/>
          <w:szCs w:val="24"/>
        </w:rPr>
      </w:pPr>
      <w:r w:rsidRPr="00AC1F2B">
        <w:rPr>
          <w:rFonts w:ascii="Arial" w:eastAsia="Calibri" w:hAnsi="Arial" w:cs="Arial"/>
          <w:b/>
          <w:color w:val="000000"/>
          <w:sz w:val="24"/>
          <w:szCs w:val="24"/>
          <w:lang w:eastAsia="en-GB"/>
        </w:rPr>
        <w:t>Public access to information</w:t>
      </w:r>
    </w:p>
    <w:p w14:paraId="326AB4FC" w14:textId="77777777" w:rsidR="00AC1F2B" w:rsidRPr="00AC1F2B" w:rsidRDefault="00AC1F2B" w:rsidP="00AC1F2B">
      <w:pPr>
        <w:autoSpaceDE w:val="0"/>
        <w:autoSpaceDN w:val="0"/>
        <w:adjustRightInd w:val="0"/>
        <w:spacing w:after="0" w:line="240" w:lineRule="auto"/>
        <w:ind w:left="360"/>
        <w:contextualSpacing/>
        <w:rPr>
          <w:rFonts w:ascii="Arial" w:hAnsi="Arial" w:cs="Arial"/>
          <w:b/>
          <w:color w:val="000000"/>
          <w:sz w:val="24"/>
          <w:szCs w:val="24"/>
        </w:rPr>
      </w:pPr>
    </w:p>
    <w:p w14:paraId="679A21F3" w14:textId="77777777" w:rsidR="00F86CC1" w:rsidRPr="00F86CC1" w:rsidRDefault="00F86CC1" w:rsidP="00F86CC1">
      <w:pPr>
        <w:jc w:val="both"/>
        <w:rPr>
          <w:rFonts w:ascii="Arial" w:eastAsia="Calibri" w:hAnsi="Arial" w:cs="Arial"/>
          <w:color w:val="000000"/>
          <w:sz w:val="24"/>
          <w:szCs w:val="24"/>
          <w:lang w:eastAsia="en-GB"/>
        </w:rPr>
      </w:pPr>
      <w:r w:rsidRPr="00F86CC1">
        <w:rPr>
          <w:rFonts w:ascii="Arial" w:eastAsia="Calibri" w:hAnsi="Arial" w:cs="Arial"/>
          <w:color w:val="000000"/>
          <w:sz w:val="24"/>
          <w:szCs w:val="24"/>
          <w:lang w:eastAsia="en-GB"/>
        </w:rPr>
        <w:t xml:space="preserve">Information in this form is subject to the Freedom of Information Act 2000 and other legislation. </w:t>
      </w:r>
    </w:p>
    <w:p w14:paraId="7DE8F49B" w14:textId="78654F62" w:rsidR="00F86CC1" w:rsidRPr="00F86CC1" w:rsidRDefault="00F86CC1" w:rsidP="00F86CC1">
      <w:pPr>
        <w:jc w:val="both"/>
        <w:rPr>
          <w:rFonts w:ascii="Arial" w:eastAsia="Calibri" w:hAnsi="Arial" w:cs="Arial"/>
          <w:color w:val="000000"/>
          <w:lang w:eastAsia="en-GB"/>
        </w:rPr>
      </w:pPr>
      <w:r w:rsidRPr="00F86CC1">
        <w:rPr>
          <w:rFonts w:ascii="Arial" w:eastAsia="Calibri" w:hAnsi="Arial" w:cs="Arial"/>
          <w:color w:val="000000"/>
          <w:sz w:val="24"/>
          <w:szCs w:val="24"/>
          <w:lang w:eastAsia="en-GB"/>
        </w:rPr>
        <w:t>Part 1 of this form will be made available on the PCC website within 3 working days of approval. Any facts/advice/recommendations that should not be made available on request should not be included in Part 1 but instead on the separate Part 2 form.</w:t>
      </w:r>
    </w:p>
    <w:p w14:paraId="16D42F04" w14:textId="77777777" w:rsidR="00011033" w:rsidRDefault="00011033"/>
    <w:sectPr w:rsidR="00011033">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D030F7" w14:textId="77777777" w:rsidR="00080E13" w:rsidRDefault="00080E13">
      <w:pPr>
        <w:spacing w:after="0" w:line="240" w:lineRule="auto"/>
      </w:pPr>
      <w:r>
        <w:separator/>
      </w:r>
    </w:p>
  </w:endnote>
  <w:endnote w:type="continuationSeparator" w:id="0">
    <w:p w14:paraId="4E78BF50" w14:textId="77777777" w:rsidR="00080E13" w:rsidRDefault="00080E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4538204"/>
      <w:docPartObj>
        <w:docPartGallery w:val="Page Numbers (Bottom of Page)"/>
        <w:docPartUnique/>
      </w:docPartObj>
    </w:sdtPr>
    <w:sdtEndPr>
      <w:rPr>
        <w:noProof/>
      </w:rPr>
    </w:sdtEndPr>
    <w:sdtContent>
      <w:p w14:paraId="0786B5F0" w14:textId="77777777" w:rsidR="002E04F4" w:rsidRDefault="007A530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5FE6D03" w14:textId="77777777" w:rsidR="002E04F4" w:rsidRDefault="003451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BF4F33" w14:textId="77777777" w:rsidR="00080E13" w:rsidRDefault="00080E13">
      <w:pPr>
        <w:spacing w:after="0" w:line="240" w:lineRule="auto"/>
      </w:pPr>
      <w:r>
        <w:separator/>
      </w:r>
    </w:p>
  </w:footnote>
  <w:footnote w:type="continuationSeparator" w:id="0">
    <w:p w14:paraId="6E7EFD3E" w14:textId="77777777" w:rsidR="00080E13" w:rsidRDefault="00080E1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FC5DF6"/>
    <w:multiLevelType w:val="hybridMultilevel"/>
    <w:tmpl w:val="C6A68A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BA4C33"/>
    <w:multiLevelType w:val="multilevel"/>
    <w:tmpl w:val="04B8416A"/>
    <w:lvl w:ilvl="0">
      <w:start w:val="1"/>
      <w:numFmt w:val="decimal"/>
      <w:lvlText w:val="%1"/>
      <w:lvlJc w:val="left"/>
      <w:pPr>
        <w:ind w:left="720"/>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31B52C21"/>
    <w:multiLevelType w:val="hybridMultilevel"/>
    <w:tmpl w:val="F0323256"/>
    <w:lvl w:ilvl="0" w:tplc="880CDA5E">
      <w:start w:val="1"/>
      <w:numFmt w:val="decimal"/>
      <w:lvlText w:val="%1."/>
      <w:lvlJc w:val="left"/>
      <w:pPr>
        <w:ind w:left="360" w:hanging="360"/>
      </w:pPr>
      <w:rPr>
        <w:rFonts w:hint="default"/>
        <w:b w:val="0"/>
      </w:rPr>
    </w:lvl>
    <w:lvl w:ilvl="1" w:tplc="08090019">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 w15:restartNumberingAfterBreak="0">
    <w:nsid w:val="32226F6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F12447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7AF7313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B792C4E"/>
    <w:multiLevelType w:val="hybridMultilevel"/>
    <w:tmpl w:val="AC3ABE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CC90C1B"/>
    <w:multiLevelType w:val="hybridMultilevel"/>
    <w:tmpl w:val="4DE4B14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38865137">
    <w:abstractNumId w:val="3"/>
  </w:num>
  <w:num w:numId="2" w16cid:durableId="1896694646">
    <w:abstractNumId w:val="6"/>
  </w:num>
  <w:num w:numId="3" w16cid:durableId="2093157072">
    <w:abstractNumId w:val="7"/>
  </w:num>
  <w:num w:numId="4" w16cid:durableId="81072669">
    <w:abstractNumId w:val="5"/>
  </w:num>
  <w:num w:numId="5" w16cid:durableId="1914925839">
    <w:abstractNumId w:val="2"/>
  </w:num>
  <w:num w:numId="6" w16cid:durableId="1006787137">
    <w:abstractNumId w:val="1"/>
  </w:num>
  <w:num w:numId="7" w16cid:durableId="1744139560">
    <w:abstractNumId w:val="4"/>
  </w:num>
  <w:num w:numId="8" w16cid:durableId="5473779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1938"/>
    <w:rsid w:val="000031C1"/>
    <w:rsid w:val="00011033"/>
    <w:rsid w:val="00016464"/>
    <w:rsid w:val="00036203"/>
    <w:rsid w:val="00080E13"/>
    <w:rsid w:val="000A3065"/>
    <w:rsid w:val="000D0846"/>
    <w:rsid w:val="00211532"/>
    <w:rsid w:val="00223F97"/>
    <w:rsid w:val="00290EFB"/>
    <w:rsid w:val="002B05C9"/>
    <w:rsid w:val="003451A1"/>
    <w:rsid w:val="003B2325"/>
    <w:rsid w:val="003E15AE"/>
    <w:rsid w:val="003E5F12"/>
    <w:rsid w:val="00424254"/>
    <w:rsid w:val="005432FE"/>
    <w:rsid w:val="005C6A34"/>
    <w:rsid w:val="007929E5"/>
    <w:rsid w:val="007A5307"/>
    <w:rsid w:val="00823FC0"/>
    <w:rsid w:val="0092335B"/>
    <w:rsid w:val="009547B2"/>
    <w:rsid w:val="0097382E"/>
    <w:rsid w:val="00AA062D"/>
    <w:rsid w:val="00AC1F2B"/>
    <w:rsid w:val="00CA6294"/>
    <w:rsid w:val="00D0394D"/>
    <w:rsid w:val="00D44845"/>
    <w:rsid w:val="00DA1938"/>
    <w:rsid w:val="00DE2893"/>
    <w:rsid w:val="00E550FF"/>
    <w:rsid w:val="00F21B20"/>
    <w:rsid w:val="00F86C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3CD7C4"/>
  <w15:chartTrackingRefBased/>
  <w15:docId w15:val="{2D4FDA63-941C-4CF9-B8E5-045D90BC2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A19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1938"/>
  </w:style>
  <w:style w:type="paragraph" w:styleId="Revision">
    <w:name w:val="Revision"/>
    <w:hidden/>
    <w:uiPriority w:val="99"/>
    <w:semiHidden/>
    <w:rsid w:val="00CA6294"/>
    <w:pPr>
      <w:spacing w:after="0" w:line="240" w:lineRule="auto"/>
    </w:pPr>
  </w:style>
  <w:style w:type="character" w:styleId="CommentReference">
    <w:name w:val="annotation reference"/>
    <w:basedOn w:val="DefaultParagraphFont"/>
    <w:uiPriority w:val="99"/>
    <w:semiHidden/>
    <w:unhideWhenUsed/>
    <w:rsid w:val="003B2325"/>
    <w:rPr>
      <w:sz w:val="16"/>
      <w:szCs w:val="16"/>
    </w:rPr>
  </w:style>
  <w:style w:type="paragraph" w:styleId="CommentText">
    <w:name w:val="annotation text"/>
    <w:basedOn w:val="Normal"/>
    <w:link w:val="CommentTextChar"/>
    <w:uiPriority w:val="99"/>
    <w:semiHidden/>
    <w:unhideWhenUsed/>
    <w:rsid w:val="003B2325"/>
    <w:pPr>
      <w:spacing w:line="240" w:lineRule="auto"/>
    </w:pPr>
    <w:rPr>
      <w:sz w:val="20"/>
      <w:szCs w:val="20"/>
    </w:rPr>
  </w:style>
  <w:style w:type="character" w:customStyle="1" w:styleId="CommentTextChar">
    <w:name w:val="Comment Text Char"/>
    <w:basedOn w:val="DefaultParagraphFont"/>
    <w:link w:val="CommentText"/>
    <w:uiPriority w:val="99"/>
    <w:semiHidden/>
    <w:rsid w:val="003B2325"/>
    <w:rPr>
      <w:sz w:val="20"/>
      <w:szCs w:val="20"/>
    </w:rPr>
  </w:style>
  <w:style w:type="paragraph" w:styleId="CommentSubject">
    <w:name w:val="annotation subject"/>
    <w:basedOn w:val="CommentText"/>
    <w:next w:val="CommentText"/>
    <w:link w:val="CommentSubjectChar"/>
    <w:uiPriority w:val="99"/>
    <w:semiHidden/>
    <w:unhideWhenUsed/>
    <w:rsid w:val="003B2325"/>
    <w:rPr>
      <w:b/>
      <w:bCs/>
    </w:rPr>
  </w:style>
  <w:style w:type="character" w:customStyle="1" w:styleId="CommentSubjectChar">
    <w:name w:val="Comment Subject Char"/>
    <w:basedOn w:val="CommentTextChar"/>
    <w:link w:val="CommentSubject"/>
    <w:uiPriority w:val="99"/>
    <w:semiHidden/>
    <w:rsid w:val="003B2325"/>
    <w:rPr>
      <w:b/>
      <w:bCs/>
      <w:sz w:val="20"/>
      <w:szCs w:val="20"/>
    </w:rPr>
  </w:style>
  <w:style w:type="paragraph" w:styleId="NoSpacing">
    <w:name w:val="No Spacing"/>
    <w:link w:val="NoSpacingChar"/>
    <w:uiPriority w:val="1"/>
    <w:qFormat/>
    <w:rsid w:val="000031C1"/>
    <w:pPr>
      <w:spacing w:after="0" w:line="240" w:lineRule="auto"/>
    </w:pPr>
  </w:style>
  <w:style w:type="character" w:customStyle="1" w:styleId="NoSpacingChar">
    <w:name w:val="No Spacing Char"/>
    <w:basedOn w:val="DefaultParagraphFont"/>
    <w:link w:val="NoSpacing"/>
    <w:uiPriority w:val="1"/>
    <w:rsid w:val="000031C1"/>
  </w:style>
  <w:style w:type="table" w:customStyle="1" w:styleId="TableGrid">
    <w:name w:val="TableGrid"/>
    <w:rsid w:val="00D44845"/>
    <w:pPr>
      <w:spacing w:after="0" w:line="240" w:lineRule="auto"/>
    </w:pPr>
    <w:rPr>
      <w:rFonts w:eastAsiaTheme="minorEastAsia"/>
      <w:lang w:eastAsia="en-GB"/>
    </w:rPr>
    <w:tblPr>
      <w:tblCellMar>
        <w:top w:w="0" w:type="dxa"/>
        <w:left w:w="0" w:type="dxa"/>
        <w:bottom w:w="0" w:type="dxa"/>
        <w:right w:w="0" w:type="dxa"/>
      </w:tblCellMar>
    </w:tblPr>
  </w:style>
  <w:style w:type="paragraph" w:styleId="ListParagraph">
    <w:name w:val="List Paragraph"/>
    <w:basedOn w:val="Normal"/>
    <w:uiPriority w:val="34"/>
    <w:qFormat/>
    <w:rsid w:val="005C6A34"/>
    <w:pPr>
      <w:ind w:left="720"/>
      <w:contextualSpacing/>
    </w:pPr>
  </w:style>
  <w:style w:type="paragraph" w:styleId="Title">
    <w:name w:val="Title"/>
    <w:basedOn w:val="Normal"/>
    <w:link w:val="TitleChar"/>
    <w:qFormat/>
    <w:rsid w:val="003451A1"/>
    <w:pPr>
      <w:spacing w:after="0" w:line="240" w:lineRule="auto"/>
      <w:jc w:val="center"/>
    </w:pPr>
    <w:rPr>
      <w:rFonts w:ascii="Arial" w:eastAsia="Times New Roman" w:hAnsi="Arial" w:cs="Times New Roman"/>
      <w:b/>
      <w:bCs/>
      <w:sz w:val="24"/>
      <w:szCs w:val="20"/>
    </w:rPr>
  </w:style>
  <w:style w:type="character" w:customStyle="1" w:styleId="TitleChar">
    <w:name w:val="Title Char"/>
    <w:basedOn w:val="DefaultParagraphFont"/>
    <w:link w:val="Title"/>
    <w:rsid w:val="003451A1"/>
    <w:rPr>
      <w:rFonts w:ascii="Arial" w:eastAsia="Times New Roman" w:hAnsi="Arial" w:cs="Times New Roman"/>
      <w:b/>
      <w:bCs/>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595</Words>
  <Characters>3398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Dickinson, Ian</dc:creator>
  <cp:keywords/>
  <dc:description/>
  <cp:lastModifiedBy>Dickinson, Ian</cp:lastModifiedBy>
  <cp:revision>3</cp:revision>
  <dcterms:created xsi:type="dcterms:W3CDTF">2023-05-30T12:23:00Z</dcterms:created>
  <dcterms:modified xsi:type="dcterms:W3CDTF">2023-06-01T09:18:00Z</dcterms:modified>
</cp:coreProperties>
</file>