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CD17" w14:textId="77777777" w:rsidR="00AD7A04" w:rsidRDefault="00AD7A04"/>
    <w:p w14:paraId="24F116C1" w14:textId="77777777" w:rsidR="00AD7A04" w:rsidRDefault="00AD7A04" w:rsidP="00AD7A04">
      <w:pPr>
        <w:pStyle w:val="BodyText"/>
        <w:spacing w:before="270" w:after="180"/>
        <w:jc w:val="center"/>
        <w:rPr>
          <w:rFonts w:ascii="TT1D94B9o00" w:hAnsi="TT1D94B9o00" w:cs="TT1D94B9o00"/>
          <w:b w:val="0"/>
          <w:szCs w:val="24"/>
        </w:rPr>
      </w:pPr>
      <w:r>
        <w:rPr>
          <w:noProof/>
        </w:rPr>
        <w:drawing>
          <wp:inline distT="0" distB="0" distL="0" distR="0" wp14:anchorId="2CE28790" wp14:editId="09776A2B">
            <wp:extent cx="4245997" cy="4245997"/>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366" cy="4254366"/>
                    </a:xfrm>
                    <a:prstGeom prst="rect">
                      <a:avLst/>
                    </a:prstGeom>
                    <a:noFill/>
                    <a:ln>
                      <a:noFill/>
                    </a:ln>
                  </pic:spPr>
                </pic:pic>
              </a:graphicData>
            </a:graphic>
          </wp:inline>
        </w:drawing>
      </w:r>
    </w:p>
    <w:p w14:paraId="5002B4F7" w14:textId="77777777" w:rsidR="00AD7A04" w:rsidRDefault="00AD7A04" w:rsidP="00AD7A04">
      <w:pPr>
        <w:pStyle w:val="BodyText"/>
        <w:spacing w:before="270" w:after="180"/>
        <w:jc w:val="center"/>
        <w:rPr>
          <w:rFonts w:ascii="TT1D94B9o00" w:hAnsi="TT1D94B9o00" w:cs="TT1D94B9o00"/>
          <w:b w:val="0"/>
          <w:szCs w:val="24"/>
        </w:rPr>
      </w:pPr>
    </w:p>
    <w:p w14:paraId="12E5532E" w14:textId="77777777" w:rsidR="00AD7A04" w:rsidRDefault="00AD7A04" w:rsidP="00AD7A04">
      <w:pPr>
        <w:pStyle w:val="BodyText"/>
        <w:spacing w:before="270" w:after="180"/>
        <w:jc w:val="center"/>
        <w:rPr>
          <w:rFonts w:ascii="TT1D94B9o00" w:hAnsi="TT1D94B9o00" w:cs="TT1D94B9o00"/>
          <w:b w:val="0"/>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AD7A04" w14:paraId="6DCF06CF" w14:textId="77777777" w:rsidTr="00B355AB">
        <w:tc>
          <w:tcPr>
            <w:tcW w:w="10457" w:type="dxa"/>
            <w:shd w:val="clear" w:color="auto" w:fill="DEEAF6" w:themeFill="accent1" w:themeFillTint="33"/>
            <w:vAlign w:val="center"/>
          </w:tcPr>
          <w:p w14:paraId="02B4D153" w14:textId="77777777" w:rsidR="00AD7A04" w:rsidRPr="00637EDA" w:rsidRDefault="00AD7A04" w:rsidP="00CE52B2">
            <w:pPr>
              <w:pStyle w:val="BodyText"/>
              <w:spacing w:before="270" w:after="180"/>
              <w:jc w:val="center"/>
              <w:rPr>
                <w:rFonts w:ascii="TT1D94B9o00" w:hAnsi="TT1D94B9o00" w:cs="TT1D94B9o00"/>
                <w:b w:val="0"/>
                <w:sz w:val="52"/>
                <w:szCs w:val="52"/>
              </w:rPr>
            </w:pPr>
            <w:r w:rsidRPr="00637EDA">
              <w:rPr>
                <w:rFonts w:ascii="TT1D94B9o00" w:hAnsi="TT1D94B9o00" w:cs="TT1D94B9o00"/>
                <w:sz w:val="52"/>
                <w:szCs w:val="52"/>
              </w:rPr>
              <w:t>Police and Crime Commissioner for Lancashire</w:t>
            </w:r>
          </w:p>
        </w:tc>
      </w:tr>
      <w:tr w:rsidR="00AD7A04" w14:paraId="0BC65F9D" w14:textId="77777777" w:rsidTr="00B355AB">
        <w:tc>
          <w:tcPr>
            <w:tcW w:w="10457" w:type="dxa"/>
            <w:shd w:val="clear" w:color="auto" w:fill="9CC2E5" w:themeFill="accent1" w:themeFillTint="99"/>
            <w:vAlign w:val="center"/>
          </w:tcPr>
          <w:p w14:paraId="3A45331B" w14:textId="7690D115" w:rsidR="00AD7A04" w:rsidRPr="00637EDA" w:rsidRDefault="00AD7A04" w:rsidP="00CE52B2">
            <w:pPr>
              <w:pStyle w:val="BodyText"/>
              <w:spacing w:before="270" w:after="180"/>
              <w:jc w:val="center"/>
              <w:rPr>
                <w:rFonts w:ascii="TT1D94B9o00" w:hAnsi="TT1D94B9o00" w:cs="TT1D94B9o00"/>
                <w:b w:val="0"/>
                <w:sz w:val="72"/>
                <w:szCs w:val="72"/>
              </w:rPr>
            </w:pPr>
            <w:r>
              <w:rPr>
                <w:rFonts w:ascii="TT1D94B9o00" w:hAnsi="TT1D94B9o00" w:cs="TT1D94B9o00"/>
                <w:sz w:val="72"/>
                <w:szCs w:val="72"/>
              </w:rPr>
              <w:t>Reserves</w:t>
            </w:r>
            <w:r w:rsidRPr="00637EDA">
              <w:rPr>
                <w:rFonts w:ascii="TT1D94B9o00" w:hAnsi="TT1D94B9o00" w:cs="TT1D94B9o00"/>
                <w:sz w:val="72"/>
                <w:szCs w:val="72"/>
              </w:rPr>
              <w:t xml:space="preserve"> Strategy</w:t>
            </w:r>
          </w:p>
        </w:tc>
      </w:tr>
      <w:tr w:rsidR="00AD7A04" w14:paraId="6CD4703B" w14:textId="77777777" w:rsidTr="00B355AB">
        <w:tc>
          <w:tcPr>
            <w:tcW w:w="10457" w:type="dxa"/>
            <w:shd w:val="clear" w:color="auto" w:fill="9CC2E5" w:themeFill="accent1" w:themeFillTint="99"/>
            <w:vAlign w:val="center"/>
          </w:tcPr>
          <w:p w14:paraId="544EC47A" w14:textId="3286B99E" w:rsidR="00AD7A04" w:rsidRPr="00637EDA" w:rsidRDefault="00AD7A04" w:rsidP="00CE52B2">
            <w:pPr>
              <w:pStyle w:val="BodyText"/>
              <w:spacing w:before="270" w:after="180"/>
              <w:jc w:val="center"/>
              <w:rPr>
                <w:rFonts w:ascii="TT1D94B9o00" w:hAnsi="TT1D94B9o00" w:cs="TT1D94B9o00"/>
                <w:b w:val="0"/>
                <w:sz w:val="72"/>
                <w:szCs w:val="72"/>
              </w:rPr>
            </w:pPr>
            <w:r w:rsidRPr="00637EDA">
              <w:rPr>
                <w:rFonts w:ascii="TT1D94B9o00" w:hAnsi="TT1D94B9o00" w:cs="TT1D94B9o00"/>
                <w:sz w:val="72"/>
                <w:szCs w:val="72"/>
              </w:rPr>
              <w:t>202</w:t>
            </w:r>
            <w:r w:rsidR="00B93802">
              <w:rPr>
                <w:rFonts w:ascii="TT1D94B9o00" w:hAnsi="TT1D94B9o00" w:cs="TT1D94B9o00"/>
                <w:sz w:val="72"/>
                <w:szCs w:val="72"/>
              </w:rPr>
              <w:t>4/25</w:t>
            </w:r>
          </w:p>
        </w:tc>
      </w:tr>
    </w:tbl>
    <w:p w14:paraId="7A214ACE" w14:textId="1D63F11E" w:rsidR="00AD7A04" w:rsidRDefault="00AD7A04">
      <w:r>
        <w:br w:type="page"/>
      </w:r>
    </w:p>
    <w:tbl>
      <w:tblPr>
        <w:tblW w:w="9655" w:type="dxa"/>
        <w:tblCellMar>
          <w:top w:w="115" w:type="dxa"/>
          <w:left w:w="115" w:type="dxa"/>
          <w:right w:w="115" w:type="dxa"/>
        </w:tblCellMar>
        <w:tblLook w:val="0000" w:firstRow="0" w:lastRow="0" w:firstColumn="0" w:lastColumn="0" w:noHBand="0" w:noVBand="0"/>
      </w:tblPr>
      <w:tblGrid>
        <w:gridCol w:w="806"/>
        <w:gridCol w:w="9423"/>
      </w:tblGrid>
      <w:tr w:rsidR="00F31870" w:rsidRPr="00CE48B3" w14:paraId="44988F16" w14:textId="77777777" w:rsidTr="00905B76">
        <w:trPr>
          <w:cantSplit/>
        </w:trPr>
        <w:tc>
          <w:tcPr>
            <w:tcW w:w="9655" w:type="dxa"/>
            <w:gridSpan w:val="2"/>
          </w:tcPr>
          <w:p w14:paraId="7BE5D6BB" w14:textId="6E1A1840" w:rsidR="004E6102" w:rsidRPr="00970F0E" w:rsidRDefault="004E6102" w:rsidP="004E6102">
            <w:pPr>
              <w:pBdr>
                <w:bottom w:val="single" w:sz="4" w:space="1" w:color="auto"/>
              </w:pBdr>
              <w:autoSpaceDE w:val="0"/>
              <w:autoSpaceDN w:val="0"/>
              <w:adjustRightInd w:val="0"/>
              <w:spacing w:after="120"/>
              <w:rPr>
                <w:rFonts w:ascii="Calibri Light" w:eastAsia="Calibri" w:hAnsi="Calibri Light"/>
                <w:b/>
                <w:color w:val="000000"/>
                <w:sz w:val="32"/>
                <w:szCs w:val="32"/>
                <w:lang w:eastAsia="en-US"/>
              </w:rPr>
            </w:pPr>
            <w:r w:rsidRPr="00970F0E">
              <w:rPr>
                <w:rFonts w:ascii="Calibri Light" w:eastAsia="Calibri" w:hAnsi="Calibri Light"/>
                <w:b/>
                <w:color w:val="000000"/>
                <w:sz w:val="32"/>
                <w:szCs w:val="32"/>
                <w:lang w:eastAsia="en-US"/>
              </w:rPr>
              <w:lastRenderedPageBreak/>
              <w:t>Police and Crime Commissioner for Lancashire</w:t>
            </w:r>
          </w:p>
          <w:p w14:paraId="3B6BB527" w14:textId="2D311DDA" w:rsidR="004E6102" w:rsidRPr="00970F0E" w:rsidRDefault="004E6102" w:rsidP="004E6102">
            <w:pPr>
              <w:pBdr>
                <w:bottom w:val="single" w:sz="4" w:space="1" w:color="auto"/>
              </w:pBdr>
              <w:autoSpaceDE w:val="0"/>
              <w:autoSpaceDN w:val="0"/>
              <w:adjustRightInd w:val="0"/>
              <w:spacing w:after="120"/>
              <w:rPr>
                <w:rFonts w:ascii="Calibri Light" w:eastAsia="Calibri" w:hAnsi="Calibri Light"/>
                <w:b/>
                <w:color w:val="000000"/>
                <w:sz w:val="32"/>
                <w:szCs w:val="32"/>
                <w:lang w:eastAsia="en-US"/>
              </w:rPr>
            </w:pPr>
            <w:r>
              <w:rPr>
                <w:rFonts w:ascii="Calibri Light" w:eastAsia="Calibri" w:hAnsi="Calibri Light"/>
                <w:b/>
                <w:color w:val="000000"/>
                <w:sz w:val="32"/>
                <w:szCs w:val="32"/>
                <w:lang w:eastAsia="en-US"/>
              </w:rPr>
              <w:t>Reserves Strategy – 20</w:t>
            </w:r>
            <w:r w:rsidRPr="00970F0E">
              <w:rPr>
                <w:rFonts w:ascii="Calibri Light" w:eastAsia="Calibri" w:hAnsi="Calibri Light"/>
                <w:b/>
                <w:color w:val="000000"/>
                <w:sz w:val="32"/>
                <w:szCs w:val="32"/>
                <w:lang w:eastAsia="en-US"/>
              </w:rPr>
              <w:t>2</w:t>
            </w:r>
            <w:r w:rsidR="00B93802">
              <w:rPr>
                <w:rFonts w:ascii="Calibri Light" w:eastAsia="Calibri" w:hAnsi="Calibri Light"/>
                <w:b/>
                <w:color w:val="000000"/>
                <w:sz w:val="32"/>
                <w:szCs w:val="32"/>
                <w:lang w:eastAsia="en-US"/>
              </w:rPr>
              <w:t>4/25</w:t>
            </w:r>
          </w:p>
          <w:p w14:paraId="2E115E54" w14:textId="77777777" w:rsidR="004E6102" w:rsidRPr="00970F0E" w:rsidRDefault="004E6102" w:rsidP="0085514D">
            <w:pPr>
              <w:autoSpaceDE w:val="0"/>
              <w:autoSpaceDN w:val="0"/>
              <w:adjustRightInd w:val="0"/>
              <w:rPr>
                <w:rFonts w:ascii="Calibri Light" w:eastAsia="Calibri" w:hAnsi="Calibri Light"/>
                <w:color w:val="000000"/>
                <w:szCs w:val="24"/>
                <w:lang w:eastAsia="en-US"/>
              </w:rPr>
            </w:pPr>
            <w:r w:rsidRPr="00970F0E">
              <w:rPr>
                <w:rFonts w:ascii="Calibri Light" w:eastAsia="Calibri" w:hAnsi="Calibri Light"/>
                <w:color w:val="000000"/>
                <w:szCs w:val="24"/>
                <w:lang w:eastAsia="en-US"/>
              </w:rPr>
              <w:t xml:space="preserve"> </w:t>
            </w:r>
          </w:p>
          <w:p w14:paraId="6B5C8917" w14:textId="77777777" w:rsidR="004E6102" w:rsidRPr="00970F0E"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970F0E">
              <w:rPr>
                <w:rFonts w:ascii="Calibri Light" w:eastAsia="Calibri" w:hAnsi="Calibri Light"/>
                <w:b/>
                <w:bCs/>
                <w:color w:val="000000"/>
                <w:szCs w:val="24"/>
                <w:lang w:eastAsia="en-US"/>
              </w:rPr>
              <w:t xml:space="preserve">Introduction </w:t>
            </w:r>
          </w:p>
          <w:p w14:paraId="5804299F"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This paper reports the estimated level of reserves currently held by the Commissioner and proposes a Reserves Strategy for approval by the Commissioner</w:t>
            </w:r>
          </w:p>
          <w:p w14:paraId="32BD92C0"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reserves strategy sets out the use of general reserves and earmarked reserves (which are set aside for a specific purpose) and forms part of the Medium-Term Financial Strategy, which is updated regularly and reviewed by the Commissioner and Chief Constable. </w:t>
            </w:r>
          </w:p>
          <w:p w14:paraId="2DB3AF5C"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In preparing this report the legislative and other requirements for the holding of reserves </w:t>
            </w:r>
            <w:proofErr w:type="gramStart"/>
            <w:r w:rsidRPr="00970F0E">
              <w:rPr>
                <w:rFonts w:ascii="Calibri Light" w:eastAsia="Calibri" w:hAnsi="Calibri Light"/>
                <w:bCs/>
                <w:color w:val="000000"/>
                <w:szCs w:val="24"/>
                <w:lang w:eastAsia="en-US"/>
              </w:rPr>
              <w:t>has</w:t>
            </w:r>
            <w:proofErr w:type="gramEnd"/>
            <w:r w:rsidRPr="00970F0E">
              <w:rPr>
                <w:rFonts w:ascii="Calibri Light" w:eastAsia="Calibri" w:hAnsi="Calibri Light"/>
                <w:bCs/>
                <w:color w:val="000000"/>
                <w:szCs w:val="24"/>
                <w:lang w:eastAsia="en-US"/>
              </w:rPr>
              <w:t xml:space="preserve"> been reviewed. The current financial position in respect of both the revenue budget and the capital programme, assessments of current and future risk, reserve levels in other Forces and views expressed by government, peers and the public have also been considered.</w:t>
            </w:r>
          </w:p>
          <w:p w14:paraId="615B2D91" w14:textId="77777777" w:rsidR="004E6102" w:rsidRPr="00970F0E" w:rsidRDefault="004E6102" w:rsidP="004E6102">
            <w:pPr>
              <w:autoSpaceDE w:val="0"/>
              <w:autoSpaceDN w:val="0"/>
              <w:adjustRightInd w:val="0"/>
              <w:spacing w:after="120"/>
              <w:rPr>
                <w:rFonts w:ascii="Calibri Light" w:eastAsia="Calibri" w:hAnsi="Calibri Light"/>
                <w:bCs/>
                <w:color w:val="000000"/>
                <w:szCs w:val="24"/>
                <w:lang w:eastAsia="en-US"/>
              </w:rPr>
            </w:pPr>
          </w:p>
          <w:p w14:paraId="01F00905" w14:textId="77777777" w:rsidR="004E6102" w:rsidRPr="00970F0E"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970F0E">
              <w:rPr>
                <w:rFonts w:ascii="Calibri Light" w:eastAsia="Calibri" w:hAnsi="Calibri Light"/>
                <w:b/>
                <w:bCs/>
                <w:color w:val="000000"/>
                <w:szCs w:val="24"/>
                <w:lang w:eastAsia="en-US"/>
              </w:rPr>
              <w:t xml:space="preserve">Legislation and guidance regarding the holding of a general reserve </w:t>
            </w:r>
          </w:p>
          <w:p w14:paraId="7096A329"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Legislation and CIPFA guidance require that a general reserve is maintained but do not stipulate the level of that general reserve. However, the guidance does require the PCC to consider strategic, </w:t>
            </w:r>
            <w:proofErr w:type="gramStart"/>
            <w:r w:rsidRPr="00970F0E">
              <w:rPr>
                <w:rFonts w:ascii="Calibri Light" w:eastAsia="Calibri" w:hAnsi="Calibri Light"/>
                <w:bCs/>
                <w:color w:val="000000"/>
                <w:szCs w:val="24"/>
                <w:lang w:eastAsia="en-US"/>
              </w:rPr>
              <w:t>operational</w:t>
            </w:r>
            <w:proofErr w:type="gramEnd"/>
            <w:r w:rsidRPr="00970F0E">
              <w:rPr>
                <w:rFonts w:ascii="Calibri Light" w:eastAsia="Calibri" w:hAnsi="Calibri Light"/>
                <w:bCs/>
                <w:color w:val="000000"/>
                <w:szCs w:val="24"/>
                <w:lang w:eastAsia="en-US"/>
              </w:rPr>
              <w:t xml:space="preserve"> and financial risk when determining reserve levels with advice from the Treasurer. In addition, the Local Government Act 2003 requires the S151 officer (the PCC's Treasurer) to report on the level of reserves annually, the planned usage and the opportunity cost of holding those reserves. </w:t>
            </w:r>
          </w:p>
          <w:p w14:paraId="5DFE4B64"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CIPFA’s Guidance Note on Local Authority Reserves and Balances states that a general reserve is required to act as “a working balance to help cushion the impact of uneven cash flows and avoid unnecessary temporary borrowing – this forms part of general reserves”. A general reserve is also required to act as “a contingency </w:t>
            </w:r>
            <w:bookmarkStart w:id="0" w:name="_Hlk67495748"/>
            <w:r w:rsidRPr="00970F0E">
              <w:rPr>
                <w:rFonts w:ascii="Calibri Light" w:eastAsia="Calibri" w:hAnsi="Calibri Light"/>
                <w:bCs/>
                <w:color w:val="000000"/>
                <w:szCs w:val="24"/>
                <w:lang w:eastAsia="en-US"/>
              </w:rPr>
              <w:t xml:space="preserve">to cushion the impact of unexpected events or emergencies </w:t>
            </w:r>
            <w:bookmarkEnd w:id="0"/>
            <w:r w:rsidRPr="00970F0E">
              <w:rPr>
                <w:rFonts w:ascii="Calibri Light" w:eastAsia="Calibri" w:hAnsi="Calibri Light"/>
                <w:bCs/>
                <w:color w:val="000000"/>
                <w:szCs w:val="24"/>
                <w:lang w:eastAsia="en-US"/>
              </w:rPr>
              <w:t xml:space="preserve">– this also forms part of general reserves.” </w:t>
            </w:r>
          </w:p>
          <w:p w14:paraId="7F9F10AB"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Maintaining a general reserve ensures compliance with the Local Government Finance Act 1992 which states that authorities must “have regard to the level of reserves needed for meeting estimated future expenditure when calculating the budget requirement.” </w:t>
            </w:r>
          </w:p>
          <w:p w14:paraId="144F6C0E"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As part of the annual audit of the Commissioner's Statement of Accounts, the external auditors provide an opinion on the level of reserves held by the Commissioner thereby providing an external scrutiny of the level of reserves being held.</w:t>
            </w:r>
          </w:p>
          <w:p w14:paraId="64733D71" w14:textId="77777777" w:rsidR="004E6102" w:rsidRPr="00970F0E" w:rsidRDefault="004E6102" w:rsidP="004E6102">
            <w:pPr>
              <w:pageBreakBefore/>
              <w:autoSpaceDE w:val="0"/>
              <w:autoSpaceDN w:val="0"/>
              <w:adjustRightInd w:val="0"/>
              <w:spacing w:after="120"/>
              <w:rPr>
                <w:rFonts w:ascii="Calibri Light" w:eastAsia="Calibri" w:hAnsi="Calibri Light" w:cs="Times New Roman"/>
                <w:szCs w:val="24"/>
                <w:lang w:eastAsia="en-US"/>
              </w:rPr>
            </w:pPr>
          </w:p>
          <w:p w14:paraId="340913D5" w14:textId="77777777" w:rsidR="004E6102" w:rsidRPr="00970F0E"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970F0E">
              <w:rPr>
                <w:rFonts w:ascii="Calibri Light" w:eastAsia="Calibri" w:hAnsi="Calibri Light"/>
                <w:b/>
                <w:bCs/>
                <w:color w:val="000000"/>
                <w:szCs w:val="24"/>
                <w:lang w:eastAsia="en-US"/>
              </w:rPr>
              <w:t xml:space="preserve">Factors to consider in deciding on reserve levels </w:t>
            </w:r>
          </w:p>
          <w:p w14:paraId="5B4AAEEA"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Overall financial position and adequacy of financial control </w:t>
            </w:r>
          </w:p>
          <w:p w14:paraId="5B252D5C" w14:textId="77777777"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In setting the level of the general reserve it is important to bear in mind Lancashire’s overall financial position and the adequacy of financial control in operation. </w:t>
            </w:r>
          </w:p>
          <w:p w14:paraId="3C4A00E8" w14:textId="56A92E6C" w:rsidR="004E6102"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overall financial position has been considered by the PCC as part of the budget process and medium-term financial planning, which has taken account of the impact of the government’s austerity measures. </w:t>
            </w:r>
          </w:p>
          <w:p w14:paraId="3366BB67" w14:textId="073033EA" w:rsidR="007F33F1" w:rsidRPr="007F33F1" w:rsidRDefault="007F33F1" w:rsidP="007F33F1">
            <w:pPr>
              <w:tabs>
                <w:tab w:val="left" w:pos="4032"/>
              </w:tabs>
              <w:rPr>
                <w:rFonts w:ascii="Calibri Light" w:eastAsia="Calibri" w:hAnsi="Calibri Light"/>
                <w:szCs w:val="24"/>
                <w:lang w:eastAsia="en-US"/>
              </w:rPr>
            </w:pPr>
            <w:r>
              <w:rPr>
                <w:rFonts w:ascii="Calibri Light" w:eastAsia="Calibri" w:hAnsi="Calibri Light"/>
                <w:szCs w:val="24"/>
                <w:lang w:eastAsia="en-US"/>
              </w:rPr>
              <w:lastRenderedPageBreak/>
              <w:tab/>
            </w:r>
          </w:p>
          <w:p w14:paraId="7E119FFD" w14:textId="003FDD3A"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It is also important to remember the context of the </w:t>
            </w:r>
            <w:r w:rsidR="00586C2C" w:rsidRPr="00970F0E">
              <w:rPr>
                <w:rFonts w:ascii="Calibri Light" w:eastAsia="Calibri" w:hAnsi="Calibri Light"/>
                <w:bCs/>
                <w:color w:val="000000"/>
                <w:szCs w:val="24"/>
                <w:lang w:eastAsia="en-US"/>
              </w:rPr>
              <w:t>Medium-Term</w:t>
            </w:r>
            <w:r w:rsidRPr="00970F0E">
              <w:rPr>
                <w:rFonts w:ascii="Calibri Light" w:eastAsia="Calibri" w:hAnsi="Calibri Light"/>
                <w:bCs/>
                <w:color w:val="000000"/>
                <w:szCs w:val="24"/>
                <w:lang w:eastAsia="en-US"/>
              </w:rPr>
              <w:t xml:space="preserve"> Financial Strategy (MTFS) agreed as part of the budget process so that the PCC continues to comply with CIPFA’s Guidance Note on Local Authority Reserves and Balances, which suggests, “Advice should be given on the adequacy of reserves over the lifetime of the medium</w:t>
            </w:r>
            <w:r w:rsidR="00B93802">
              <w:rPr>
                <w:rFonts w:ascii="Calibri Light" w:eastAsia="Calibri" w:hAnsi="Calibri Light"/>
                <w:bCs/>
                <w:color w:val="000000"/>
                <w:szCs w:val="24"/>
                <w:lang w:eastAsia="en-US"/>
              </w:rPr>
              <w:t>-</w:t>
            </w:r>
            <w:r w:rsidRPr="00970F0E">
              <w:rPr>
                <w:rFonts w:ascii="Calibri Light" w:eastAsia="Calibri" w:hAnsi="Calibri Light"/>
                <w:bCs/>
                <w:color w:val="000000"/>
                <w:szCs w:val="24"/>
                <w:lang w:eastAsia="en-US"/>
              </w:rPr>
              <w:t xml:space="preserve">term financial plan”. </w:t>
            </w:r>
          </w:p>
          <w:p w14:paraId="0533B9B4" w14:textId="77777777"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use of general reserves does afford the PCC some flexibility in managing the MTFS and the Capital Programme over a number of years where future investment is considered against the pressure placed upon the annual revenue budget. </w:t>
            </w:r>
          </w:p>
          <w:p w14:paraId="2A113F26"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Risk exposure and risk assessment </w:t>
            </w:r>
          </w:p>
          <w:p w14:paraId="72B0511F" w14:textId="2D16B052"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Reserve levels must be considered in the context of risk if we are to comply with CIPFA’s guidelines, which state “in order to assess the adequacy of unallocated general reserves</w:t>
            </w:r>
            <w:proofErr w:type="gramStart"/>
            <w:r w:rsidRPr="00970F0E">
              <w:rPr>
                <w:rFonts w:ascii="Calibri Light" w:eastAsia="Calibri" w:hAnsi="Calibri Light"/>
                <w:bCs/>
                <w:color w:val="000000"/>
                <w:szCs w:val="24"/>
                <w:lang w:eastAsia="en-US"/>
              </w:rPr>
              <w:t>…..</w:t>
            </w:r>
            <w:proofErr w:type="gramEnd"/>
            <w:r w:rsidR="00B93802">
              <w:rPr>
                <w:rFonts w:ascii="Calibri Light" w:eastAsia="Calibri" w:hAnsi="Calibri Light"/>
                <w:bCs/>
                <w:color w:val="000000"/>
                <w:szCs w:val="24"/>
                <w:lang w:eastAsia="en-US"/>
              </w:rPr>
              <w:t xml:space="preserve"> </w:t>
            </w:r>
            <w:r w:rsidRPr="00970F0E">
              <w:rPr>
                <w:rFonts w:ascii="Calibri Light" w:eastAsia="Calibri" w:hAnsi="Calibri Light"/>
                <w:bCs/>
                <w:color w:val="000000"/>
                <w:szCs w:val="24"/>
                <w:lang w:eastAsia="en-US"/>
              </w:rPr>
              <w:t xml:space="preserve">Chief Financial Officers should take account of the strategic, </w:t>
            </w:r>
            <w:proofErr w:type="gramStart"/>
            <w:r w:rsidRPr="00970F0E">
              <w:rPr>
                <w:rFonts w:ascii="Calibri Light" w:eastAsia="Calibri" w:hAnsi="Calibri Light"/>
                <w:bCs/>
                <w:color w:val="000000"/>
                <w:szCs w:val="24"/>
                <w:lang w:eastAsia="en-US"/>
              </w:rPr>
              <w:t>operational</w:t>
            </w:r>
            <w:proofErr w:type="gramEnd"/>
            <w:r w:rsidRPr="00970F0E">
              <w:rPr>
                <w:rFonts w:ascii="Calibri Light" w:eastAsia="Calibri" w:hAnsi="Calibri Light"/>
                <w:bCs/>
                <w:color w:val="000000"/>
                <w:szCs w:val="24"/>
                <w:lang w:eastAsia="en-US"/>
              </w:rPr>
              <w:t xml:space="preserve"> and financial risks facing the organisation.” </w:t>
            </w:r>
          </w:p>
          <w:p w14:paraId="7124F491" w14:textId="77777777"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Whilst risk exposure and mitigation of that risk may not necessarily drive a material increase in spending, it will influence the level of general reserves year by year. </w:t>
            </w:r>
          </w:p>
          <w:p w14:paraId="31C74481" w14:textId="77777777"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The key risks currently relevant to the level of general reserves now and in the future are</w:t>
            </w:r>
            <w:r>
              <w:rPr>
                <w:rFonts w:ascii="Calibri Light" w:eastAsia="Calibri" w:hAnsi="Calibri Light"/>
                <w:bCs/>
                <w:color w:val="000000"/>
                <w:szCs w:val="24"/>
                <w:lang w:eastAsia="en-US"/>
              </w:rPr>
              <w:t>:</w:t>
            </w:r>
          </w:p>
          <w:p w14:paraId="449BDD02" w14:textId="2D2BD566" w:rsidR="004E6102" w:rsidRPr="00970F0E" w:rsidRDefault="004E6102" w:rsidP="004E6102">
            <w:pPr>
              <w:numPr>
                <w:ilvl w:val="3"/>
                <w:numId w:val="45"/>
              </w:numPr>
              <w:autoSpaceDE w:val="0"/>
              <w:autoSpaceDN w:val="0"/>
              <w:adjustRightInd w:val="0"/>
              <w:spacing w:after="120" w:line="259" w:lineRule="auto"/>
              <w:ind w:left="1418" w:hanging="284"/>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Future Funding Gap – the risk that due to the increase in Demand faced by the force and the </w:t>
            </w:r>
            <w:r>
              <w:rPr>
                <w:rFonts w:ascii="Calibri Light" w:eastAsia="Calibri" w:hAnsi="Calibri Light"/>
                <w:bCs/>
                <w:color w:val="000000"/>
                <w:szCs w:val="24"/>
                <w:lang w:eastAsia="en-US"/>
              </w:rPr>
              <w:t>level of</w:t>
            </w:r>
            <w:r w:rsidRPr="00970F0E">
              <w:rPr>
                <w:rFonts w:ascii="Calibri Light" w:eastAsia="Calibri" w:hAnsi="Calibri Light"/>
                <w:bCs/>
                <w:color w:val="000000"/>
                <w:szCs w:val="24"/>
                <w:lang w:eastAsia="en-US"/>
              </w:rPr>
              <w:t xml:space="preserve"> funding from government, the increased resource requirements will have a significant effect on already stretched financial resources. This pressure is likely to impact on operational policing which in turn has an impact on the achievement of targets in the PCC</w:t>
            </w:r>
            <w:r w:rsidR="00586C2C">
              <w:rPr>
                <w:rFonts w:ascii="Calibri Light" w:eastAsia="Calibri" w:hAnsi="Calibri Light"/>
                <w:bCs/>
                <w:color w:val="000000"/>
                <w:szCs w:val="24"/>
                <w:lang w:eastAsia="en-US"/>
              </w:rPr>
              <w:t>'</w:t>
            </w:r>
            <w:r w:rsidRPr="00970F0E">
              <w:rPr>
                <w:rFonts w:ascii="Calibri Light" w:eastAsia="Calibri" w:hAnsi="Calibri Light"/>
                <w:bCs/>
                <w:color w:val="000000"/>
                <w:szCs w:val="24"/>
                <w:lang w:eastAsia="en-US"/>
              </w:rPr>
              <w:t>s Polic</w:t>
            </w:r>
            <w:r w:rsidR="00586C2C">
              <w:rPr>
                <w:rFonts w:ascii="Calibri Light" w:eastAsia="Calibri" w:hAnsi="Calibri Light"/>
                <w:bCs/>
                <w:color w:val="000000"/>
                <w:szCs w:val="24"/>
                <w:lang w:eastAsia="en-US"/>
              </w:rPr>
              <w:t>e and Crime</w:t>
            </w:r>
            <w:r w:rsidRPr="00970F0E">
              <w:rPr>
                <w:rFonts w:ascii="Calibri Light" w:eastAsia="Calibri" w:hAnsi="Calibri Light"/>
                <w:bCs/>
                <w:color w:val="000000"/>
                <w:szCs w:val="24"/>
                <w:lang w:eastAsia="en-US"/>
              </w:rPr>
              <w:t xml:space="preserve"> Plan. </w:t>
            </w:r>
            <w:r>
              <w:rPr>
                <w:rFonts w:ascii="Calibri Light" w:eastAsia="Calibri" w:hAnsi="Calibri Light"/>
                <w:bCs/>
                <w:color w:val="000000"/>
                <w:szCs w:val="24"/>
                <w:lang w:eastAsia="en-US"/>
              </w:rPr>
              <w:t>Even with the additional resource provided through the national uplift programme the gap between demand and available resources continues to increase.</w:t>
            </w:r>
          </w:p>
          <w:p w14:paraId="35FD0083" w14:textId="5E82F1AF" w:rsidR="004E6102" w:rsidRDefault="004E6102" w:rsidP="004E6102">
            <w:pPr>
              <w:numPr>
                <w:ilvl w:val="3"/>
                <w:numId w:val="45"/>
              </w:numPr>
              <w:autoSpaceDE w:val="0"/>
              <w:autoSpaceDN w:val="0"/>
              <w:adjustRightInd w:val="0"/>
              <w:spacing w:after="120" w:line="259" w:lineRule="auto"/>
              <w:ind w:left="1418" w:hanging="284"/>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ongoing </w:t>
            </w:r>
            <w:r>
              <w:rPr>
                <w:rFonts w:ascii="Calibri Light" w:eastAsia="Calibri" w:hAnsi="Calibri Light"/>
                <w:bCs/>
                <w:color w:val="000000"/>
                <w:szCs w:val="24"/>
                <w:lang w:eastAsia="en-US"/>
              </w:rPr>
              <w:t xml:space="preserve">impact of </w:t>
            </w:r>
            <w:r w:rsidR="00B93802">
              <w:rPr>
                <w:rFonts w:ascii="Calibri Light" w:eastAsia="Calibri" w:hAnsi="Calibri Light"/>
                <w:bCs/>
                <w:color w:val="000000"/>
                <w:szCs w:val="24"/>
                <w:lang w:eastAsia="en-US"/>
              </w:rPr>
              <w:t>international conflicts</w:t>
            </w:r>
            <w:r w:rsidR="00905B76">
              <w:rPr>
                <w:rFonts w:ascii="Calibri Light" w:eastAsia="Calibri" w:hAnsi="Calibri Light"/>
                <w:bCs/>
                <w:color w:val="000000"/>
                <w:szCs w:val="24"/>
                <w:lang w:eastAsia="en-US"/>
              </w:rPr>
              <w:t xml:space="preserve"> on the</w:t>
            </w:r>
            <w:r>
              <w:rPr>
                <w:rFonts w:ascii="Calibri Light" w:eastAsia="Calibri" w:hAnsi="Calibri Light"/>
                <w:bCs/>
                <w:color w:val="000000"/>
                <w:szCs w:val="24"/>
                <w:lang w:eastAsia="en-US"/>
              </w:rPr>
              <w:t xml:space="preserve"> wider economy and the subsequent impact for funding of the projected economic downturn</w:t>
            </w:r>
            <w:r w:rsidRPr="00970F0E">
              <w:rPr>
                <w:rFonts w:ascii="Calibri Light" w:eastAsia="Calibri" w:hAnsi="Calibri Light"/>
                <w:bCs/>
                <w:color w:val="000000"/>
                <w:szCs w:val="24"/>
                <w:lang w:eastAsia="en-US"/>
              </w:rPr>
              <w:t xml:space="preserve">. </w:t>
            </w:r>
          </w:p>
          <w:p w14:paraId="3C5A540D" w14:textId="7C69077A" w:rsidR="00905B76" w:rsidRPr="00970F0E" w:rsidRDefault="00905B76" w:rsidP="004E6102">
            <w:pPr>
              <w:numPr>
                <w:ilvl w:val="3"/>
                <w:numId w:val="45"/>
              </w:numPr>
              <w:autoSpaceDE w:val="0"/>
              <w:autoSpaceDN w:val="0"/>
              <w:adjustRightInd w:val="0"/>
              <w:spacing w:after="120" w:line="259" w:lineRule="auto"/>
              <w:ind w:left="1418" w:hanging="284"/>
              <w:rPr>
                <w:rFonts w:ascii="Calibri Light" w:eastAsia="Calibri" w:hAnsi="Calibri Light"/>
                <w:bCs/>
                <w:color w:val="000000"/>
                <w:szCs w:val="24"/>
                <w:lang w:eastAsia="en-US"/>
              </w:rPr>
            </w:pPr>
            <w:r>
              <w:rPr>
                <w:rFonts w:ascii="Calibri Light" w:eastAsia="Calibri" w:hAnsi="Calibri Light"/>
                <w:bCs/>
                <w:color w:val="000000"/>
                <w:szCs w:val="24"/>
                <w:lang w:eastAsia="en-US"/>
              </w:rPr>
              <w:t xml:space="preserve">The </w:t>
            </w:r>
            <w:r w:rsidR="000F2C76">
              <w:rPr>
                <w:rFonts w:ascii="Calibri Light" w:eastAsia="Calibri" w:hAnsi="Calibri Light"/>
                <w:bCs/>
                <w:color w:val="000000"/>
                <w:szCs w:val="24"/>
                <w:lang w:eastAsia="en-US"/>
              </w:rPr>
              <w:t>subsequent</w:t>
            </w:r>
            <w:r>
              <w:rPr>
                <w:rFonts w:ascii="Calibri Light" w:eastAsia="Calibri" w:hAnsi="Calibri Light"/>
                <w:bCs/>
                <w:color w:val="000000"/>
                <w:szCs w:val="24"/>
                <w:lang w:eastAsia="en-US"/>
              </w:rPr>
              <w:t xml:space="preserve"> impact on inflation of the </w:t>
            </w:r>
            <w:r w:rsidR="000F2C76">
              <w:rPr>
                <w:rFonts w:ascii="Calibri Light" w:eastAsia="Calibri" w:hAnsi="Calibri Light"/>
                <w:bCs/>
                <w:color w:val="000000"/>
                <w:szCs w:val="24"/>
                <w:lang w:eastAsia="en-US"/>
              </w:rPr>
              <w:t>current international situation a</w:t>
            </w:r>
            <w:r>
              <w:rPr>
                <w:rFonts w:ascii="Calibri Light" w:eastAsia="Calibri" w:hAnsi="Calibri Light"/>
                <w:bCs/>
                <w:color w:val="000000"/>
                <w:szCs w:val="24"/>
                <w:lang w:eastAsia="en-US"/>
              </w:rPr>
              <w:t>nd the increase in costs for the PCC and Constabulary in 20</w:t>
            </w:r>
            <w:r w:rsidR="00586C2C">
              <w:rPr>
                <w:rFonts w:ascii="Calibri Light" w:eastAsia="Calibri" w:hAnsi="Calibri Light"/>
                <w:bCs/>
                <w:color w:val="000000"/>
                <w:szCs w:val="24"/>
                <w:lang w:eastAsia="en-US"/>
              </w:rPr>
              <w:t>24</w:t>
            </w:r>
            <w:r w:rsidR="00B93802">
              <w:rPr>
                <w:rFonts w:ascii="Calibri Light" w:eastAsia="Calibri" w:hAnsi="Calibri Light"/>
                <w:bCs/>
                <w:color w:val="000000"/>
                <w:szCs w:val="24"/>
                <w:lang w:eastAsia="en-US"/>
              </w:rPr>
              <w:t>/25</w:t>
            </w:r>
            <w:r>
              <w:rPr>
                <w:rFonts w:ascii="Calibri Light" w:eastAsia="Calibri" w:hAnsi="Calibri Light"/>
                <w:bCs/>
                <w:color w:val="000000"/>
                <w:szCs w:val="24"/>
                <w:lang w:eastAsia="en-US"/>
              </w:rPr>
              <w:t xml:space="preserve"> and future years.</w:t>
            </w:r>
          </w:p>
          <w:p w14:paraId="460979B5"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Public opinion </w:t>
            </w:r>
          </w:p>
          <w:p w14:paraId="748EDF9B" w14:textId="06AFF402"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A key factor in determining a General Reserves Strategy continues to be public opinion. The public’s acceptance of the precept is partly reliant on the understanding that the precept is spent on policing and that only a reasonable and prudent amount of any over-funding is being stored away as a General Reserve. Conversely, when unforeseen expenditure arises, such as </w:t>
            </w:r>
            <w:r w:rsidR="000F2C76">
              <w:rPr>
                <w:rFonts w:ascii="Calibri Light" w:eastAsia="Calibri" w:hAnsi="Calibri Light"/>
                <w:bCs/>
                <w:color w:val="000000"/>
                <w:szCs w:val="24"/>
                <w:lang w:eastAsia="en-US"/>
              </w:rPr>
              <w:t>huge inflationary pressures on costs</w:t>
            </w:r>
            <w:r w:rsidRPr="00970F0E">
              <w:rPr>
                <w:rFonts w:ascii="Calibri Light" w:eastAsia="Calibri" w:hAnsi="Calibri Light"/>
                <w:bCs/>
                <w:color w:val="000000"/>
                <w:szCs w:val="24"/>
                <w:lang w:eastAsia="en-US"/>
              </w:rPr>
              <w:t xml:space="preserve">, it is likely that the public would expect the organisation to have sufficient resources to cover the expense without recourse to overspend. </w:t>
            </w:r>
          </w:p>
          <w:p w14:paraId="282528C2" w14:textId="77777777" w:rsidR="004E6102" w:rsidRPr="00970F0E" w:rsidRDefault="004E6102" w:rsidP="004E6102">
            <w:pPr>
              <w:autoSpaceDE w:val="0"/>
              <w:autoSpaceDN w:val="0"/>
              <w:adjustRightInd w:val="0"/>
              <w:rPr>
                <w:rFonts w:ascii="Calibri Light" w:eastAsia="Calibri" w:hAnsi="Calibri Light" w:cs="Calibri"/>
                <w:szCs w:val="24"/>
                <w:lang w:eastAsia="en-US"/>
              </w:rPr>
            </w:pPr>
          </w:p>
          <w:p w14:paraId="3499603C" w14:textId="77777777" w:rsidR="004E6102" w:rsidRPr="00970F0E"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970F0E">
              <w:rPr>
                <w:rFonts w:ascii="Calibri Light" w:eastAsia="Calibri" w:hAnsi="Calibri Light"/>
                <w:b/>
                <w:bCs/>
                <w:color w:val="000000"/>
                <w:szCs w:val="24"/>
                <w:lang w:eastAsia="en-US"/>
              </w:rPr>
              <w:t xml:space="preserve">General reserve levels and their use </w:t>
            </w:r>
          </w:p>
          <w:p w14:paraId="7B0DBBC1"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 Use of </w:t>
            </w:r>
            <w:r w:rsidRPr="00B93802">
              <w:rPr>
                <w:rFonts w:ascii="Calibri Light" w:eastAsia="Calibri" w:hAnsi="Calibri Light"/>
                <w:b/>
                <w:color w:val="000000"/>
                <w:szCs w:val="24"/>
                <w:lang w:eastAsia="en-US"/>
              </w:rPr>
              <w:t>General Reserves</w:t>
            </w:r>
          </w:p>
          <w:p w14:paraId="58E8D2C6" w14:textId="77777777" w:rsidR="004E6102" w:rsidRPr="00970F0E"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 The current strategy for general reserves levels is </w:t>
            </w:r>
            <w:r>
              <w:rPr>
                <w:rFonts w:ascii="Calibri Light" w:eastAsia="Calibri" w:hAnsi="Calibri Light"/>
                <w:bCs/>
                <w:color w:val="000000"/>
                <w:szCs w:val="24"/>
                <w:lang w:eastAsia="en-US"/>
              </w:rPr>
              <w:t xml:space="preserve">to </w:t>
            </w:r>
            <w:r w:rsidRPr="00970F0E">
              <w:rPr>
                <w:rFonts w:ascii="Calibri Light" w:eastAsia="Calibri" w:hAnsi="Calibri Light"/>
                <w:bCs/>
                <w:color w:val="000000"/>
                <w:szCs w:val="24"/>
                <w:lang w:eastAsia="en-US"/>
              </w:rPr>
              <w:t xml:space="preserve">hold an amount that represents </w:t>
            </w:r>
            <w:r w:rsidRPr="00B93802">
              <w:rPr>
                <w:rFonts w:ascii="Calibri Light" w:eastAsia="Calibri" w:hAnsi="Calibri Light"/>
                <w:b/>
                <w:color w:val="000000"/>
                <w:szCs w:val="24"/>
                <w:lang w:eastAsia="en-US"/>
              </w:rPr>
              <w:t>between 3% and 5%</w:t>
            </w:r>
            <w:r w:rsidRPr="00970F0E">
              <w:rPr>
                <w:rFonts w:ascii="Calibri Light" w:eastAsia="Calibri" w:hAnsi="Calibri Light"/>
                <w:bCs/>
                <w:color w:val="000000"/>
                <w:szCs w:val="24"/>
                <w:lang w:eastAsia="en-US"/>
              </w:rPr>
              <w:t xml:space="preserve"> of the annual revenue budget. This reflects the consideration of the factors set out above and has been confirmed as appropriate by the external a</w:t>
            </w:r>
            <w:r>
              <w:rPr>
                <w:rFonts w:ascii="Calibri Light" w:eastAsia="Calibri" w:hAnsi="Calibri Light"/>
                <w:bCs/>
                <w:color w:val="000000"/>
                <w:szCs w:val="24"/>
                <w:lang w:eastAsia="en-US"/>
              </w:rPr>
              <w:t>uditors</w:t>
            </w:r>
            <w:r w:rsidRPr="00970F0E">
              <w:rPr>
                <w:rFonts w:ascii="Calibri Light" w:eastAsia="Calibri" w:hAnsi="Calibri Light"/>
                <w:bCs/>
                <w:color w:val="000000"/>
                <w:szCs w:val="24"/>
                <w:lang w:eastAsia="en-US"/>
              </w:rPr>
              <w:t xml:space="preserve">. </w:t>
            </w:r>
          </w:p>
          <w:p w14:paraId="76EAD2EA" w14:textId="77777777" w:rsidR="004E6102" w:rsidRPr="00D70C76" w:rsidRDefault="004E6102" w:rsidP="004E6102">
            <w:pPr>
              <w:numPr>
                <w:ilvl w:val="2"/>
                <w:numId w:val="44"/>
              </w:numPr>
              <w:autoSpaceDE w:val="0"/>
              <w:autoSpaceDN w:val="0"/>
              <w:adjustRightInd w:val="0"/>
              <w:spacing w:after="120" w:line="259" w:lineRule="auto"/>
              <w:ind w:left="993" w:hanging="709"/>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lastRenderedPageBreak/>
              <w:t xml:space="preserve"> The Commissioner's general reserves are available to support the medium-term financial planning process and to </w:t>
            </w:r>
            <w:r>
              <w:rPr>
                <w:rFonts w:ascii="Calibri Light" w:eastAsia="Calibri" w:hAnsi="Calibri Light"/>
                <w:bCs/>
                <w:color w:val="000000"/>
                <w:szCs w:val="24"/>
                <w:lang w:eastAsia="en-US"/>
              </w:rPr>
              <w:t>mitigate</w:t>
            </w:r>
            <w:r w:rsidRPr="00A23DEC">
              <w:rPr>
                <w:rFonts w:ascii="Calibri Light" w:eastAsia="Calibri" w:hAnsi="Calibri Light"/>
                <w:bCs/>
                <w:color w:val="000000"/>
                <w:szCs w:val="24"/>
                <w:lang w:eastAsia="en-US"/>
              </w:rPr>
              <w:t xml:space="preserve"> the impact of unexpected events or emergencies</w:t>
            </w:r>
            <w:r>
              <w:rPr>
                <w:rFonts w:ascii="Calibri Light" w:eastAsia="Calibri" w:hAnsi="Calibri Light"/>
                <w:bCs/>
                <w:color w:val="000000"/>
                <w:szCs w:val="24"/>
                <w:lang w:eastAsia="en-US"/>
              </w:rPr>
              <w:t xml:space="preserve"> if required</w:t>
            </w:r>
            <w:r w:rsidRPr="00970F0E">
              <w:rPr>
                <w:rFonts w:ascii="Calibri Light" w:eastAsia="Calibri" w:hAnsi="Calibri Light"/>
                <w:bCs/>
                <w:color w:val="000000"/>
                <w:szCs w:val="24"/>
                <w:lang w:eastAsia="en-US"/>
              </w:rPr>
              <w:t xml:space="preserve">. </w:t>
            </w:r>
          </w:p>
          <w:p w14:paraId="29AA44CF" w14:textId="0AA97E1E"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In order to assess the adequacy of unallocated general reserves (otherwise known as general balances) when setting the </w:t>
            </w:r>
            <w:proofErr w:type="gramStart"/>
            <w:r w:rsidRPr="00970F0E">
              <w:rPr>
                <w:rFonts w:ascii="Calibri Light" w:eastAsia="Calibri" w:hAnsi="Calibri Light"/>
                <w:bCs/>
                <w:color w:val="000000"/>
                <w:szCs w:val="24"/>
                <w:lang w:eastAsia="en-US"/>
              </w:rPr>
              <w:t>budget</w:t>
            </w:r>
            <w:proofErr w:type="gramEnd"/>
            <w:r w:rsidRPr="00970F0E">
              <w:rPr>
                <w:rFonts w:ascii="Calibri Light" w:eastAsia="Calibri" w:hAnsi="Calibri Light"/>
                <w:bCs/>
                <w:color w:val="000000"/>
                <w:szCs w:val="24"/>
                <w:lang w:eastAsia="en-US"/>
              </w:rPr>
              <w:t xml:space="preserve"> the PCC, on the advice of the two chief finance officers, should take account of the strategic, operational and financial risks facing the </w:t>
            </w:r>
            <w:r w:rsidR="00B93802">
              <w:rPr>
                <w:rFonts w:ascii="Calibri Light" w:eastAsia="Calibri" w:hAnsi="Calibri Light"/>
                <w:bCs/>
                <w:color w:val="000000"/>
                <w:szCs w:val="24"/>
                <w:lang w:eastAsia="en-US"/>
              </w:rPr>
              <w:t>organisation</w:t>
            </w:r>
            <w:r w:rsidRPr="00970F0E">
              <w:rPr>
                <w:rFonts w:ascii="Calibri Light" w:eastAsia="Calibri" w:hAnsi="Calibri Light"/>
                <w:bCs/>
                <w:color w:val="000000"/>
                <w:szCs w:val="24"/>
                <w:lang w:eastAsia="en-US"/>
              </w:rPr>
              <w:t xml:space="preserve">. This assessment of risk should include external risks, such as flooding, as well as internal risks, for example the ability to deliver planned efficiency savings. </w:t>
            </w:r>
          </w:p>
          <w:p w14:paraId="041E7EF6"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Table 1 examines how Lancashire currently complies with the 7 key CIPFA principles to assess the adequacy of reserves.  </w:t>
            </w:r>
          </w:p>
          <w:p w14:paraId="20F95AF7" w14:textId="77777777" w:rsidR="004E6102" w:rsidRPr="00970F0E" w:rsidRDefault="004E6102" w:rsidP="004E6102">
            <w:pPr>
              <w:spacing w:after="160" w:line="259" w:lineRule="auto"/>
              <w:jc w:val="both"/>
              <w:rPr>
                <w:rFonts w:ascii="Calibri Light" w:eastAsia="Calibri" w:hAnsi="Calibri Light" w:cs="Arial"/>
                <w:szCs w:val="24"/>
                <w:lang w:eastAsia="en-US"/>
              </w:rPr>
            </w:pPr>
            <w:r w:rsidRPr="00970F0E">
              <w:rPr>
                <w:rFonts w:ascii="Calibri Light" w:eastAsia="Calibri" w:hAnsi="Calibri Light" w:cs="Arial"/>
                <w:b/>
                <w:szCs w:val="24"/>
                <w:lang w:eastAsia="en-US"/>
              </w:rPr>
              <w:t xml:space="preserve">Table 1: Compliance with the 7 key principles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1"/>
            </w:tblGrid>
            <w:tr w:rsidR="004E6102" w:rsidRPr="00970F0E" w14:paraId="3051E8F9" w14:textId="77777777" w:rsidTr="00905B76">
              <w:tc>
                <w:tcPr>
                  <w:tcW w:w="2693" w:type="dxa"/>
                </w:tcPr>
                <w:p w14:paraId="19238708"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b/>
                      <w:bCs/>
                      <w:szCs w:val="24"/>
                      <w:lang w:eastAsia="en-US"/>
                    </w:rPr>
                    <w:t>Budget assumptions</w:t>
                  </w:r>
                </w:p>
              </w:tc>
              <w:tc>
                <w:tcPr>
                  <w:tcW w:w="6521" w:type="dxa"/>
                </w:tcPr>
                <w:p w14:paraId="02FFF475"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b/>
                      <w:szCs w:val="24"/>
                      <w:lang w:eastAsia="en-US"/>
                    </w:rPr>
                    <w:t>Current situation in Lancashire</w:t>
                  </w:r>
                  <w:r w:rsidRPr="00970F0E">
                    <w:rPr>
                      <w:rFonts w:ascii="Calibri Light" w:eastAsia="Calibri" w:hAnsi="Calibri Light" w:cs="Arial"/>
                      <w:szCs w:val="24"/>
                      <w:lang w:eastAsia="en-US"/>
                    </w:rPr>
                    <w:t xml:space="preserve"> </w:t>
                  </w:r>
                </w:p>
              </w:tc>
            </w:tr>
            <w:tr w:rsidR="004E6102" w:rsidRPr="00970F0E" w14:paraId="15B50F46" w14:textId="77777777" w:rsidTr="00905B76">
              <w:tc>
                <w:tcPr>
                  <w:tcW w:w="2693" w:type="dxa"/>
                </w:tcPr>
                <w:p w14:paraId="5163625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treatment of inflation and interest rates</w:t>
                  </w:r>
                </w:p>
              </w:tc>
              <w:tc>
                <w:tcPr>
                  <w:tcW w:w="6521" w:type="dxa"/>
                </w:tcPr>
                <w:p w14:paraId="6CC071D4"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PCC and Chief Constable (CC) make full and appropriate provision for pay and price rises.   </w:t>
                  </w:r>
                </w:p>
                <w:p w14:paraId="63001867" w14:textId="54E11286"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An informed assessment is made of interest rate movements.  </w:t>
                  </w:r>
                </w:p>
              </w:tc>
            </w:tr>
            <w:tr w:rsidR="004E6102" w:rsidRPr="00970F0E" w14:paraId="35D667CF" w14:textId="77777777" w:rsidTr="00905B76">
              <w:tc>
                <w:tcPr>
                  <w:tcW w:w="2693" w:type="dxa"/>
                </w:tcPr>
                <w:p w14:paraId="5E179A7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Estimates of the level and timing of capital receipts</w:t>
                  </w:r>
                </w:p>
              </w:tc>
              <w:tc>
                <w:tcPr>
                  <w:tcW w:w="6521" w:type="dxa"/>
                </w:tcPr>
                <w:p w14:paraId="4A8D9D3F"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PCC and CC make a prudent assumption of future capital receipts. </w:t>
                  </w:r>
                </w:p>
              </w:tc>
            </w:tr>
            <w:tr w:rsidR="004E6102" w:rsidRPr="00970F0E" w14:paraId="0863E830" w14:textId="77777777" w:rsidTr="00905B76">
              <w:tc>
                <w:tcPr>
                  <w:tcW w:w="2693" w:type="dxa"/>
                </w:tcPr>
                <w:p w14:paraId="7D593594"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treatment of demand led pressures</w:t>
                  </w:r>
                </w:p>
              </w:tc>
              <w:tc>
                <w:tcPr>
                  <w:tcW w:w="6521" w:type="dxa"/>
                </w:tcPr>
                <w:p w14:paraId="6269769C"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Force is required to operate and manage within its annual budget allocation. </w:t>
                  </w:r>
                </w:p>
                <w:p w14:paraId="02F824A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PCC retains a central reserve to help finance large scale or corporate operations or issues, the 'Operational Policing Reserve'</w:t>
                  </w:r>
                </w:p>
                <w:p w14:paraId="04A2D651"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In addition, the CC holds a delegated 'DFM reserve' to deal with day-to-day changes in demand and pressure</w:t>
                  </w:r>
                  <w:r>
                    <w:rPr>
                      <w:rFonts w:ascii="Calibri Light" w:eastAsia="Calibri" w:hAnsi="Calibri Light" w:cs="Arial"/>
                      <w:szCs w:val="24"/>
                      <w:lang w:eastAsia="en-US"/>
                    </w:rPr>
                    <w:t xml:space="preserve"> that forms part of the group's 'General Reserve'.</w:t>
                  </w:r>
                </w:p>
                <w:p w14:paraId="76048504" w14:textId="49537D63" w:rsidR="004E6102" w:rsidRPr="00970F0E" w:rsidRDefault="004E6102" w:rsidP="004E6102">
                  <w:pPr>
                    <w:spacing w:after="160" w:line="259" w:lineRule="auto"/>
                    <w:rPr>
                      <w:rFonts w:ascii="Calibri Light" w:eastAsia="Calibri" w:hAnsi="Calibri Light" w:cs="Arial"/>
                      <w:szCs w:val="24"/>
                      <w:lang w:eastAsia="en-US"/>
                    </w:rPr>
                  </w:pPr>
                  <w:r w:rsidRPr="007C1352">
                    <w:rPr>
                      <w:rFonts w:ascii="Calibri Light" w:eastAsia="Calibri" w:hAnsi="Calibri Light" w:cs="Arial"/>
                      <w:szCs w:val="24"/>
                      <w:lang w:eastAsia="en-US"/>
                    </w:rPr>
                    <w:t>Savings of £</w:t>
                  </w:r>
                  <w:r w:rsidR="00B93802">
                    <w:rPr>
                      <w:rFonts w:ascii="Calibri Light" w:eastAsia="Calibri" w:hAnsi="Calibri Light" w:cs="Arial"/>
                      <w:szCs w:val="24"/>
                      <w:lang w:eastAsia="en-US"/>
                    </w:rPr>
                    <w:t>5.9</w:t>
                  </w:r>
                  <w:r w:rsidRPr="007C1352">
                    <w:rPr>
                      <w:rFonts w:ascii="Calibri Light" w:eastAsia="Calibri" w:hAnsi="Calibri Light" w:cs="Arial"/>
                      <w:szCs w:val="24"/>
                      <w:lang w:eastAsia="en-US"/>
                    </w:rPr>
                    <w:t>m will be removed from the budget in 202</w:t>
                  </w:r>
                  <w:r w:rsidR="00B93802">
                    <w:rPr>
                      <w:rFonts w:ascii="Calibri Light" w:eastAsia="Calibri" w:hAnsi="Calibri Light" w:cs="Arial"/>
                      <w:szCs w:val="24"/>
                      <w:lang w:eastAsia="en-US"/>
                    </w:rPr>
                    <w:t>4/25</w:t>
                  </w:r>
                  <w:r w:rsidRPr="007C1352">
                    <w:rPr>
                      <w:rFonts w:ascii="Calibri Light" w:eastAsia="Calibri" w:hAnsi="Calibri Light" w:cs="Arial"/>
                      <w:szCs w:val="24"/>
                      <w:lang w:eastAsia="en-US"/>
                    </w:rPr>
                    <w:t>. This means that more than £</w:t>
                  </w:r>
                  <w:r w:rsidR="007C1352" w:rsidRPr="007C1352">
                    <w:rPr>
                      <w:rFonts w:ascii="Calibri Light" w:eastAsia="Calibri" w:hAnsi="Calibri Light" w:cs="Arial"/>
                      <w:szCs w:val="24"/>
                      <w:lang w:eastAsia="en-US"/>
                    </w:rPr>
                    <w:t>10</w:t>
                  </w:r>
                  <w:r w:rsidR="00B93802">
                    <w:rPr>
                      <w:rFonts w:ascii="Calibri Light" w:eastAsia="Calibri" w:hAnsi="Calibri Light" w:cs="Arial"/>
                      <w:szCs w:val="24"/>
                      <w:lang w:eastAsia="en-US"/>
                    </w:rPr>
                    <w:t>8</w:t>
                  </w:r>
                  <w:r w:rsidRPr="007C1352">
                    <w:rPr>
                      <w:rFonts w:ascii="Calibri Light" w:eastAsia="Calibri" w:hAnsi="Calibri Light" w:cs="Arial"/>
                      <w:szCs w:val="24"/>
                      <w:lang w:eastAsia="en-US"/>
                    </w:rPr>
                    <w:t>m of cash savings have been removed from the base budget since 2011/12.  A funding gap of £</w:t>
                  </w:r>
                  <w:r w:rsidR="00B93802">
                    <w:rPr>
                      <w:rFonts w:ascii="Calibri Light" w:eastAsia="Calibri" w:hAnsi="Calibri Light" w:cs="Arial"/>
                      <w:szCs w:val="24"/>
                      <w:lang w:eastAsia="en-US"/>
                    </w:rPr>
                    <w:t>17</w:t>
                  </w:r>
                  <w:r w:rsidRPr="007C1352">
                    <w:rPr>
                      <w:rFonts w:ascii="Calibri Light" w:eastAsia="Calibri" w:hAnsi="Calibri Light" w:cs="Arial"/>
                      <w:szCs w:val="24"/>
                      <w:lang w:eastAsia="en-US"/>
                    </w:rPr>
                    <w:t>m has been identified to 202</w:t>
                  </w:r>
                  <w:r w:rsidR="007C1352" w:rsidRPr="007C1352">
                    <w:rPr>
                      <w:rFonts w:ascii="Calibri Light" w:eastAsia="Calibri" w:hAnsi="Calibri Light" w:cs="Arial"/>
                      <w:szCs w:val="24"/>
                      <w:lang w:eastAsia="en-US"/>
                    </w:rPr>
                    <w:t>6</w:t>
                  </w:r>
                  <w:r w:rsidR="00B93802">
                    <w:rPr>
                      <w:rFonts w:ascii="Calibri Light" w:eastAsia="Calibri" w:hAnsi="Calibri Light" w:cs="Arial"/>
                      <w:szCs w:val="24"/>
                      <w:lang w:eastAsia="en-US"/>
                    </w:rPr>
                    <w:t>/27</w:t>
                  </w:r>
                  <w:r w:rsidRPr="007C1352">
                    <w:rPr>
                      <w:rFonts w:ascii="Calibri Light" w:eastAsia="Calibri" w:hAnsi="Calibri Light" w:cs="Arial"/>
                      <w:szCs w:val="24"/>
                      <w:lang w:eastAsia="en-US"/>
                    </w:rPr>
                    <w:t>.</w:t>
                  </w:r>
                </w:p>
                <w:p w14:paraId="266FE601"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This cumulative level of budget reduction will inevitably mean that operational budgets will come under even greater pressure and/or risk of overspending in future years.   </w:t>
                  </w:r>
                </w:p>
                <w:p w14:paraId="2DD76CC9"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Some government grants are announced annually in advance and are cash limited. Any new policing pressures arising during the year will have to be funded from the PCC and Constabulary's own resources. </w:t>
                  </w:r>
                </w:p>
                <w:p w14:paraId="3C752C3E"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PCC and CC have created earmarked revenue reserves to help finance specific, ad-hoc, expenditure commitments.  </w:t>
                  </w:r>
                  <w:r w:rsidRPr="00970F0E">
                    <w:rPr>
                      <w:rFonts w:ascii="Calibri Light" w:eastAsia="Calibri" w:hAnsi="Calibri Light" w:cs="Arial"/>
                      <w:szCs w:val="24"/>
                      <w:lang w:eastAsia="en-US"/>
                    </w:rPr>
                    <w:lastRenderedPageBreak/>
                    <w:t>Appropriations are made to and from these reserves on an annual basis, as required.</w:t>
                  </w:r>
                </w:p>
                <w:p w14:paraId="762F1C7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Finally, general </w:t>
                  </w:r>
                  <w:r>
                    <w:rPr>
                      <w:rFonts w:ascii="Calibri Light" w:eastAsia="Calibri" w:hAnsi="Calibri Light" w:cs="Arial"/>
                      <w:szCs w:val="24"/>
                      <w:lang w:eastAsia="en-US"/>
                    </w:rPr>
                    <w:t>reserves</w:t>
                  </w:r>
                  <w:r w:rsidRPr="00970F0E">
                    <w:rPr>
                      <w:rFonts w:ascii="Calibri Light" w:eastAsia="Calibri" w:hAnsi="Calibri Light" w:cs="Arial"/>
                      <w:szCs w:val="24"/>
                      <w:lang w:eastAsia="en-US"/>
                    </w:rPr>
                    <w:t xml:space="preserve"> are used as a last resort to manage and fund demand-led spending pressures.    </w:t>
                  </w:r>
                </w:p>
              </w:tc>
            </w:tr>
            <w:tr w:rsidR="004E6102" w:rsidRPr="00970F0E" w14:paraId="56A13BD0" w14:textId="77777777" w:rsidTr="00905B76">
              <w:tc>
                <w:tcPr>
                  <w:tcW w:w="2693" w:type="dxa"/>
                </w:tcPr>
                <w:p w14:paraId="7BCF1CBA"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lastRenderedPageBreak/>
                    <w:t>The treatment of planned efficiency savings/productivity gains</w:t>
                  </w:r>
                </w:p>
                <w:p w14:paraId="538DFA9D" w14:textId="77777777" w:rsidR="004E6102" w:rsidRPr="00970F0E" w:rsidRDefault="004E6102" w:rsidP="004E6102">
                  <w:pPr>
                    <w:spacing w:after="160" w:line="259" w:lineRule="auto"/>
                    <w:rPr>
                      <w:rFonts w:ascii="Calibri Light" w:eastAsia="Calibri" w:hAnsi="Calibri Light" w:cs="Arial"/>
                      <w:szCs w:val="24"/>
                      <w:lang w:eastAsia="en-US"/>
                    </w:rPr>
                  </w:pPr>
                </w:p>
              </w:tc>
              <w:tc>
                <w:tcPr>
                  <w:tcW w:w="6521" w:type="dxa"/>
                </w:tcPr>
                <w:p w14:paraId="08D43A5F"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Force has consistently achieved its annual savings target over the last 10 years. </w:t>
                  </w:r>
                </w:p>
                <w:p w14:paraId="50D0001D" w14:textId="7888B19F" w:rsidR="004E6102" w:rsidRPr="00970F0E" w:rsidRDefault="004E6102" w:rsidP="004E6102">
                  <w:pPr>
                    <w:spacing w:after="160" w:line="259" w:lineRule="auto"/>
                    <w:rPr>
                      <w:rFonts w:ascii="Calibri Light" w:eastAsia="Calibri" w:hAnsi="Calibri Light" w:cs="Arial"/>
                      <w:szCs w:val="24"/>
                      <w:lang w:eastAsia="en-US"/>
                    </w:rPr>
                  </w:pPr>
                  <w:r>
                    <w:rPr>
                      <w:rFonts w:ascii="Calibri Light" w:eastAsia="Calibri" w:hAnsi="Calibri Light" w:cs="Arial"/>
                      <w:szCs w:val="24"/>
                      <w:lang w:eastAsia="en-US"/>
                    </w:rPr>
                    <w:t xml:space="preserve">As explained above, over </w:t>
                  </w:r>
                  <w:r w:rsidRPr="007C1352">
                    <w:rPr>
                      <w:rFonts w:ascii="Calibri Light" w:eastAsia="Calibri" w:hAnsi="Calibri Light" w:cs="Arial"/>
                      <w:szCs w:val="24"/>
                      <w:lang w:eastAsia="en-US"/>
                    </w:rPr>
                    <w:t>£</w:t>
                  </w:r>
                  <w:r w:rsidR="007C1352" w:rsidRPr="007C1352">
                    <w:rPr>
                      <w:rFonts w:ascii="Calibri Light" w:eastAsia="Calibri" w:hAnsi="Calibri Light" w:cs="Arial"/>
                      <w:szCs w:val="24"/>
                      <w:lang w:eastAsia="en-US"/>
                    </w:rPr>
                    <w:t>103</w:t>
                  </w:r>
                  <w:r w:rsidRPr="007C1352">
                    <w:rPr>
                      <w:rFonts w:ascii="Calibri Light" w:eastAsia="Calibri" w:hAnsi="Calibri Light" w:cs="Arial"/>
                      <w:szCs w:val="24"/>
                      <w:lang w:eastAsia="en-US"/>
                    </w:rPr>
                    <w:t>m of cash savings</w:t>
                  </w:r>
                  <w:r w:rsidRPr="00970F0E">
                    <w:rPr>
                      <w:rFonts w:ascii="Calibri Light" w:eastAsia="Calibri" w:hAnsi="Calibri Light" w:cs="Arial"/>
                      <w:szCs w:val="24"/>
                      <w:lang w:eastAsia="en-US"/>
                    </w:rPr>
                    <w:t xml:space="preserve"> has already been taken out of the</w:t>
                  </w:r>
                  <w:r>
                    <w:rPr>
                      <w:rFonts w:ascii="Calibri Light" w:eastAsia="Calibri" w:hAnsi="Calibri Light" w:cs="Arial"/>
                      <w:szCs w:val="24"/>
                      <w:lang w:eastAsia="en-US"/>
                    </w:rPr>
                    <w:t xml:space="preserve"> base budget with a </w:t>
                  </w:r>
                  <w:r w:rsidR="007C1352">
                    <w:rPr>
                      <w:rFonts w:ascii="Calibri Light" w:eastAsia="Calibri" w:hAnsi="Calibri Light" w:cs="Arial"/>
                      <w:szCs w:val="24"/>
                      <w:lang w:eastAsia="en-US"/>
                    </w:rPr>
                    <w:t>minimum of £</w:t>
                  </w:r>
                  <w:r w:rsidR="00B93802">
                    <w:rPr>
                      <w:rFonts w:ascii="Calibri Light" w:eastAsia="Calibri" w:hAnsi="Calibri Light" w:cs="Arial"/>
                      <w:szCs w:val="24"/>
                      <w:lang w:eastAsia="en-US"/>
                    </w:rPr>
                    <w:t>17</w:t>
                  </w:r>
                  <w:r w:rsidR="007C1352">
                    <w:rPr>
                      <w:rFonts w:ascii="Calibri Light" w:eastAsia="Calibri" w:hAnsi="Calibri Light" w:cs="Arial"/>
                      <w:szCs w:val="24"/>
                      <w:lang w:eastAsia="en-US"/>
                    </w:rPr>
                    <w:t>m</w:t>
                  </w:r>
                  <w:r w:rsidRPr="007C1352">
                    <w:rPr>
                      <w:rFonts w:ascii="Calibri Light" w:eastAsia="Calibri" w:hAnsi="Calibri Light" w:cs="Arial"/>
                      <w:szCs w:val="24"/>
                      <w:lang w:eastAsia="en-US"/>
                    </w:rPr>
                    <w:t xml:space="preserve"> required </w:t>
                  </w:r>
                  <w:r w:rsidR="007C1352">
                    <w:rPr>
                      <w:rFonts w:ascii="Calibri Light" w:eastAsia="Calibri" w:hAnsi="Calibri Light" w:cs="Arial"/>
                      <w:szCs w:val="24"/>
                      <w:lang w:eastAsia="en-US"/>
                    </w:rPr>
                    <w:t>by 2026</w:t>
                  </w:r>
                  <w:r w:rsidR="00B93802">
                    <w:rPr>
                      <w:rFonts w:ascii="Calibri Light" w:eastAsia="Calibri" w:hAnsi="Calibri Light" w:cs="Arial"/>
                      <w:szCs w:val="24"/>
                      <w:lang w:eastAsia="en-US"/>
                    </w:rPr>
                    <w:t>/27</w:t>
                  </w:r>
                  <w:r w:rsidRPr="007C1352">
                    <w:rPr>
                      <w:rFonts w:ascii="Calibri Light" w:eastAsia="Calibri" w:hAnsi="Calibri Light" w:cs="Arial"/>
                      <w:szCs w:val="24"/>
                      <w:lang w:eastAsia="en-US"/>
                    </w:rPr>
                    <w:t>.</w:t>
                  </w:r>
                </w:p>
              </w:tc>
            </w:tr>
            <w:tr w:rsidR="004E6102" w:rsidRPr="00970F0E" w14:paraId="745D2691" w14:textId="77777777" w:rsidTr="00905B76">
              <w:trPr>
                <w:trHeight w:val="274"/>
              </w:trPr>
              <w:tc>
                <w:tcPr>
                  <w:tcW w:w="2693" w:type="dxa"/>
                </w:tcPr>
                <w:p w14:paraId="02808E41"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financial risks inherent in any significant new funding partnerships, collaboration, major outsourcing </w:t>
                  </w:r>
                  <w:proofErr w:type="gramStart"/>
                  <w:r w:rsidRPr="00970F0E">
                    <w:rPr>
                      <w:rFonts w:ascii="Calibri Light" w:eastAsia="Calibri" w:hAnsi="Calibri Light" w:cs="Arial"/>
                      <w:szCs w:val="24"/>
                      <w:lang w:eastAsia="en-US"/>
                    </w:rPr>
                    <w:t>arrangements</w:t>
                  </w:r>
                  <w:proofErr w:type="gramEnd"/>
                  <w:r w:rsidRPr="00970F0E">
                    <w:rPr>
                      <w:rFonts w:ascii="Calibri Light" w:eastAsia="Calibri" w:hAnsi="Calibri Light" w:cs="Arial"/>
                      <w:szCs w:val="24"/>
                      <w:lang w:eastAsia="en-US"/>
                    </w:rPr>
                    <w:t xml:space="preserve"> or major capital developments</w:t>
                  </w:r>
                </w:p>
              </w:tc>
              <w:tc>
                <w:tcPr>
                  <w:tcW w:w="6521" w:type="dxa"/>
                </w:tcPr>
                <w:p w14:paraId="18DE187A" w14:textId="72475369"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financial consequences of partnership </w:t>
                  </w:r>
                  <w:r w:rsidR="00220833">
                    <w:rPr>
                      <w:rFonts w:ascii="Calibri Light" w:eastAsia="Calibri" w:hAnsi="Calibri Light" w:cs="Arial"/>
                      <w:szCs w:val="24"/>
                      <w:lang w:eastAsia="en-US"/>
                    </w:rPr>
                    <w:t xml:space="preserve">and </w:t>
                  </w:r>
                  <w:r w:rsidRPr="00970F0E">
                    <w:rPr>
                      <w:rFonts w:ascii="Calibri Light" w:eastAsia="Calibri" w:hAnsi="Calibri Light" w:cs="Arial"/>
                      <w:szCs w:val="24"/>
                      <w:lang w:eastAsia="en-US"/>
                    </w:rPr>
                    <w:t>collaborati</w:t>
                  </w:r>
                  <w:r w:rsidR="00220833">
                    <w:rPr>
                      <w:rFonts w:ascii="Calibri Light" w:eastAsia="Calibri" w:hAnsi="Calibri Light" w:cs="Arial"/>
                      <w:szCs w:val="24"/>
                      <w:lang w:eastAsia="en-US"/>
                    </w:rPr>
                    <w:t>ve</w:t>
                  </w:r>
                  <w:r w:rsidRPr="00970F0E">
                    <w:rPr>
                      <w:rFonts w:ascii="Calibri Light" w:eastAsia="Calibri" w:hAnsi="Calibri Light" w:cs="Arial"/>
                      <w:szCs w:val="24"/>
                      <w:lang w:eastAsia="en-US"/>
                    </w:rPr>
                    <w:t xml:space="preserve"> working, outsourcing arrangements or capital investment are reported to the PCC as part of the medium-term planning process.  Where relevant, any additional costs are incorporated in the annual revenue budget and/or capital programme.  </w:t>
                  </w:r>
                </w:p>
                <w:p w14:paraId="1B5DB10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There is clearly a risk that local authority partners will continue to withdraw funding as their own budgets are squeezed, or that the continued financial viability of private sector commercial partners will be exposed to risk in the face of an economic recession.</w:t>
                  </w:r>
                </w:p>
              </w:tc>
            </w:tr>
            <w:tr w:rsidR="004E6102" w:rsidRPr="00970F0E" w14:paraId="6E2E3D7F" w14:textId="77777777" w:rsidTr="00905B76">
              <w:tc>
                <w:tcPr>
                  <w:tcW w:w="2693" w:type="dxa"/>
                </w:tcPr>
                <w:p w14:paraId="349D7E64"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availability of reserves, government grants and other funds to deal with major contingencies and the adequacy of provisions</w:t>
                  </w:r>
                </w:p>
                <w:p w14:paraId="19068398" w14:textId="77777777" w:rsidR="004E6102" w:rsidRPr="00970F0E" w:rsidRDefault="004E6102" w:rsidP="004E6102">
                  <w:pPr>
                    <w:spacing w:after="160" w:line="259" w:lineRule="auto"/>
                    <w:rPr>
                      <w:rFonts w:ascii="Calibri Light" w:eastAsia="Calibri" w:hAnsi="Calibri Light" w:cs="Arial"/>
                      <w:szCs w:val="24"/>
                      <w:lang w:eastAsia="en-US"/>
                    </w:rPr>
                  </w:pPr>
                </w:p>
              </w:tc>
              <w:tc>
                <w:tcPr>
                  <w:tcW w:w="6521" w:type="dxa"/>
                </w:tcPr>
                <w:p w14:paraId="29F319B7"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PCC has created earmarked revenue reserves and provisions to meet specific expenditure items.  These are referred to in more detail in paragraph 5 below.</w:t>
                  </w:r>
                </w:p>
              </w:tc>
            </w:tr>
            <w:tr w:rsidR="004E6102" w:rsidRPr="00970F0E" w14:paraId="512DF91B" w14:textId="77777777" w:rsidTr="00905B76">
              <w:tc>
                <w:tcPr>
                  <w:tcW w:w="2693" w:type="dxa"/>
                </w:tcPr>
                <w:p w14:paraId="7EFA1DEE" w14:textId="77777777"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general financial climate to which the authority is subject.</w:t>
                  </w:r>
                </w:p>
              </w:tc>
              <w:tc>
                <w:tcPr>
                  <w:tcW w:w="6521" w:type="dxa"/>
                </w:tcPr>
                <w:p w14:paraId="5C5B29C5" w14:textId="5292363D" w:rsidR="004E6102" w:rsidRPr="00970F0E" w:rsidRDefault="004E6102" w:rsidP="004E6102">
                  <w:pPr>
                    <w:spacing w:after="160" w:line="259" w:lineRule="auto"/>
                    <w:rPr>
                      <w:rFonts w:ascii="Calibri Light" w:eastAsia="Calibri" w:hAnsi="Calibri Light" w:cs="Arial"/>
                      <w:szCs w:val="24"/>
                      <w:lang w:eastAsia="en-US"/>
                    </w:rPr>
                  </w:pPr>
                  <w:r>
                    <w:rPr>
                      <w:rFonts w:ascii="Calibri Light" w:eastAsia="Calibri" w:hAnsi="Calibri Light" w:cs="Arial"/>
                      <w:szCs w:val="24"/>
                      <w:lang w:eastAsia="en-US"/>
                    </w:rPr>
                    <w:t xml:space="preserve">The government has </w:t>
                  </w:r>
                  <w:r w:rsidR="00A00C79">
                    <w:rPr>
                      <w:rFonts w:ascii="Calibri Light" w:eastAsia="Calibri" w:hAnsi="Calibri Light" w:cs="Arial"/>
                      <w:szCs w:val="24"/>
                      <w:lang w:eastAsia="en-US"/>
                    </w:rPr>
                    <w:t xml:space="preserve">not announced the </w:t>
                  </w:r>
                  <w:r>
                    <w:rPr>
                      <w:rFonts w:ascii="Calibri Light" w:eastAsia="Calibri" w:hAnsi="Calibri Light" w:cs="Arial"/>
                      <w:szCs w:val="24"/>
                      <w:lang w:eastAsia="en-US"/>
                    </w:rPr>
                    <w:t>pay</w:t>
                  </w:r>
                  <w:r w:rsidR="00A00C79">
                    <w:rPr>
                      <w:rFonts w:ascii="Calibri Light" w:eastAsia="Calibri" w:hAnsi="Calibri Light" w:cs="Arial"/>
                      <w:szCs w:val="24"/>
                      <w:lang w:eastAsia="en-US"/>
                    </w:rPr>
                    <w:t xml:space="preserve"> award</w:t>
                  </w:r>
                  <w:r>
                    <w:rPr>
                      <w:rFonts w:ascii="Calibri Light" w:eastAsia="Calibri" w:hAnsi="Calibri Light" w:cs="Arial"/>
                      <w:szCs w:val="24"/>
                      <w:lang w:eastAsia="en-US"/>
                    </w:rPr>
                    <w:t xml:space="preserve"> for police officers and staff </w:t>
                  </w:r>
                  <w:r w:rsidR="00A00C79">
                    <w:rPr>
                      <w:rFonts w:ascii="Calibri Light" w:eastAsia="Calibri" w:hAnsi="Calibri Light" w:cs="Arial"/>
                      <w:szCs w:val="24"/>
                      <w:lang w:eastAsia="en-US"/>
                    </w:rPr>
                    <w:t>for 20</w:t>
                  </w:r>
                  <w:r w:rsidR="00220833">
                    <w:rPr>
                      <w:rFonts w:ascii="Calibri Light" w:eastAsia="Calibri" w:hAnsi="Calibri Light" w:cs="Arial"/>
                      <w:szCs w:val="24"/>
                      <w:lang w:eastAsia="en-US"/>
                    </w:rPr>
                    <w:t>24</w:t>
                  </w:r>
                  <w:r w:rsidR="00B93802">
                    <w:rPr>
                      <w:rFonts w:ascii="Calibri Light" w:eastAsia="Calibri" w:hAnsi="Calibri Light" w:cs="Arial"/>
                      <w:szCs w:val="24"/>
                      <w:lang w:eastAsia="en-US"/>
                    </w:rPr>
                    <w:t>/25</w:t>
                  </w:r>
                  <w:r w:rsidR="00A00C79">
                    <w:rPr>
                      <w:rFonts w:ascii="Calibri Light" w:eastAsia="Calibri" w:hAnsi="Calibri Light" w:cs="Arial"/>
                      <w:szCs w:val="24"/>
                      <w:lang w:eastAsia="en-US"/>
                    </w:rPr>
                    <w:t xml:space="preserve"> however</w:t>
                  </w:r>
                  <w:r>
                    <w:rPr>
                      <w:rFonts w:ascii="Calibri Light" w:eastAsia="Calibri" w:hAnsi="Calibri Light" w:cs="Arial"/>
                      <w:szCs w:val="24"/>
                      <w:lang w:eastAsia="en-US"/>
                    </w:rPr>
                    <w:t xml:space="preserve"> is not unreasonable to assume that a </w:t>
                  </w:r>
                  <w:r w:rsidR="00A00C79">
                    <w:rPr>
                      <w:rFonts w:ascii="Calibri Light" w:eastAsia="Calibri" w:hAnsi="Calibri Light" w:cs="Arial"/>
                      <w:szCs w:val="24"/>
                      <w:lang w:eastAsia="en-US"/>
                    </w:rPr>
                    <w:t xml:space="preserve">significant </w:t>
                  </w:r>
                  <w:r>
                    <w:rPr>
                      <w:rFonts w:ascii="Calibri Light" w:eastAsia="Calibri" w:hAnsi="Calibri Light" w:cs="Arial"/>
                      <w:szCs w:val="24"/>
                      <w:lang w:eastAsia="en-US"/>
                    </w:rPr>
                    <w:t>pay increase will be awarded</w:t>
                  </w:r>
                  <w:r w:rsidR="00A00C79">
                    <w:rPr>
                      <w:rFonts w:ascii="Calibri Light" w:eastAsia="Calibri" w:hAnsi="Calibri Light" w:cs="Arial"/>
                      <w:szCs w:val="24"/>
                      <w:lang w:eastAsia="en-US"/>
                    </w:rPr>
                    <w:t xml:space="preserve">, not least reflecting the </w:t>
                  </w:r>
                  <w:r w:rsidR="00B93802">
                    <w:rPr>
                      <w:rFonts w:ascii="Calibri Light" w:eastAsia="Calibri" w:hAnsi="Calibri Light" w:cs="Arial"/>
                      <w:szCs w:val="24"/>
                      <w:lang w:eastAsia="en-US"/>
                    </w:rPr>
                    <w:t>ongoing impact of high</w:t>
                  </w:r>
                  <w:r w:rsidR="00A00C79">
                    <w:rPr>
                      <w:rFonts w:ascii="Calibri Light" w:eastAsia="Calibri" w:hAnsi="Calibri Light" w:cs="Arial"/>
                      <w:szCs w:val="24"/>
                      <w:lang w:eastAsia="en-US"/>
                    </w:rPr>
                    <w:t xml:space="preserve"> inflation currently in place in the UK</w:t>
                  </w:r>
                  <w:r w:rsidRPr="00970F0E">
                    <w:rPr>
                      <w:rFonts w:ascii="Calibri Light" w:eastAsia="Calibri" w:hAnsi="Calibri Light" w:cs="Arial"/>
                      <w:szCs w:val="24"/>
                      <w:lang w:eastAsia="en-US"/>
                    </w:rPr>
                    <w:t>.</w:t>
                  </w:r>
                </w:p>
                <w:p w14:paraId="305E6394" w14:textId="2E3CAD69"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The </w:t>
                  </w:r>
                  <w:r w:rsidR="00220833">
                    <w:rPr>
                      <w:rFonts w:ascii="Calibri Light" w:eastAsia="Calibri" w:hAnsi="Calibri Light" w:cs="Arial"/>
                      <w:szCs w:val="24"/>
                      <w:lang w:eastAsia="en-US"/>
                    </w:rPr>
                    <w:t>financial settlement for policing in 2024</w:t>
                  </w:r>
                  <w:r w:rsidR="005A3B67">
                    <w:rPr>
                      <w:rFonts w:ascii="Calibri Light" w:eastAsia="Calibri" w:hAnsi="Calibri Light" w:cs="Arial"/>
                      <w:szCs w:val="24"/>
                      <w:lang w:eastAsia="en-US"/>
                    </w:rPr>
                    <w:t>/25</w:t>
                  </w:r>
                  <w:r w:rsidR="00220833">
                    <w:rPr>
                      <w:rFonts w:ascii="Calibri Light" w:eastAsia="Calibri" w:hAnsi="Calibri Light" w:cs="Arial"/>
                      <w:szCs w:val="24"/>
                      <w:lang w:eastAsia="en-US"/>
                    </w:rPr>
                    <w:t xml:space="preserve"> represents the </w:t>
                  </w:r>
                  <w:r w:rsidR="005A3B67">
                    <w:rPr>
                      <w:rFonts w:ascii="Calibri Light" w:eastAsia="Calibri" w:hAnsi="Calibri Light" w:cs="Arial"/>
                      <w:szCs w:val="24"/>
                      <w:lang w:eastAsia="en-US"/>
                    </w:rPr>
                    <w:t>third</w:t>
                  </w:r>
                  <w:r w:rsidR="00220833">
                    <w:rPr>
                      <w:rFonts w:ascii="Calibri Light" w:eastAsia="Calibri" w:hAnsi="Calibri Light" w:cs="Arial"/>
                      <w:szCs w:val="24"/>
                      <w:lang w:eastAsia="en-US"/>
                    </w:rPr>
                    <w:t xml:space="preserve"> year of the </w:t>
                  </w:r>
                  <w:r w:rsidR="00A00C79">
                    <w:rPr>
                      <w:rFonts w:ascii="Calibri Light" w:eastAsia="Calibri" w:hAnsi="Calibri Light" w:cs="Arial"/>
                      <w:szCs w:val="24"/>
                      <w:lang w:eastAsia="en-US"/>
                    </w:rPr>
                    <w:t>three-year</w:t>
                  </w:r>
                  <w:r w:rsidRPr="00970F0E">
                    <w:rPr>
                      <w:rFonts w:ascii="Calibri Light" w:eastAsia="Calibri" w:hAnsi="Calibri Light" w:cs="Arial"/>
                      <w:szCs w:val="24"/>
                      <w:lang w:eastAsia="en-US"/>
                    </w:rPr>
                    <w:t xml:space="preserve"> Spending Review </w:t>
                  </w:r>
                  <w:r w:rsidR="00220833">
                    <w:rPr>
                      <w:rFonts w:ascii="Calibri Light" w:eastAsia="Calibri" w:hAnsi="Calibri Light" w:cs="Arial"/>
                      <w:szCs w:val="24"/>
                      <w:lang w:eastAsia="en-US"/>
                    </w:rPr>
                    <w:t xml:space="preserve">announced </w:t>
                  </w:r>
                  <w:r w:rsidRPr="00970F0E">
                    <w:rPr>
                      <w:rFonts w:ascii="Calibri Light" w:eastAsia="Calibri" w:hAnsi="Calibri Light" w:cs="Arial"/>
                      <w:szCs w:val="24"/>
                      <w:lang w:eastAsia="en-US"/>
                    </w:rPr>
                    <w:t>in 20</w:t>
                  </w:r>
                  <w:r w:rsidR="00A00C79">
                    <w:rPr>
                      <w:rFonts w:ascii="Calibri Light" w:eastAsia="Calibri" w:hAnsi="Calibri Light" w:cs="Arial"/>
                      <w:szCs w:val="24"/>
                      <w:lang w:eastAsia="en-US"/>
                    </w:rPr>
                    <w:t xml:space="preserve">22. </w:t>
                  </w:r>
                  <w:r w:rsidRPr="00970F0E">
                    <w:rPr>
                      <w:rFonts w:ascii="Calibri Light" w:eastAsia="Calibri" w:hAnsi="Calibri Light" w:cs="Arial"/>
                      <w:szCs w:val="24"/>
                      <w:lang w:eastAsia="en-US"/>
                    </w:rPr>
                    <w:t xml:space="preserve">This </w:t>
                  </w:r>
                  <w:r w:rsidR="00A00C79">
                    <w:rPr>
                      <w:rFonts w:ascii="Calibri Light" w:eastAsia="Calibri" w:hAnsi="Calibri Light" w:cs="Arial"/>
                      <w:szCs w:val="24"/>
                      <w:lang w:eastAsia="en-US"/>
                    </w:rPr>
                    <w:t xml:space="preserve">provides </w:t>
                  </w:r>
                  <w:r w:rsidR="005A3B67">
                    <w:rPr>
                      <w:rFonts w:ascii="Calibri Light" w:eastAsia="Calibri" w:hAnsi="Calibri Light" w:cs="Arial"/>
                      <w:szCs w:val="24"/>
                      <w:lang w:eastAsia="en-US"/>
                    </w:rPr>
                    <w:t>little</w:t>
                  </w:r>
                  <w:r w:rsidR="00A00C79">
                    <w:rPr>
                      <w:rFonts w:ascii="Calibri Light" w:eastAsia="Calibri" w:hAnsi="Calibri Light" w:cs="Arial"/>
                      <w:szCs w:val="24"/>
                      <w:lang w:eastAsia="en-US"/>
                    </w:rPr>
                    <w:t xml:space="preserve"> c</w:t>
                  </w:r>
                  <w:r w:rsidRPr="00970F0E">
                    <w:rPr>
                      <w:rFonts w:ascii="Calibri Light" w:eastAsia="Calibri" w:hAnsi="Calibri Light" w:cs="Arial"/>
                      <w:szCs w:val="24"/>
                      <w:lang w:eastAsia="en-US"/>
                    </w:rPr>
                    <w:t>ertainty</w:t>
                  </w:r>
                  <w:r w:rsidR="00A00C79">
                    <w:rPr>
                      <w:rFonts w:ascii="Calibri Light" w:eastAsia="Calibri" w:hAnsi="Calibri Light" w:cs="Arial"/>
                      <w:szCs w:val="24"/>
                      <w:lang w:eastAsia="en-US"/>
                    </w:rPr>
                    <w:t xml:space="preserve"> for future years' funding </w:t>
                  </w:r>
                  <w:r w:rsidR="005A3B67">
                    <w:rPr>
                      <w:rFonts w:ascii="Calibri Light" w:eastAsia="Calibri" w:hAnsi="Calibri Light" w:cs="Arial"/>
                      <w:szCs w:val="24"/>
                      <w:lang w:eastAsia="en-US"/>
                    </w:rPr>
                    <w:t>making effective fina</w:t>
                  </w:r>
                  <w:r w:rsidR="00A00C79">
                    <w:rPr>
                      <w:rFonts w:ascii="Calibri Light" w:eastAsia="Calibri" w:hAnsi="Calibri Light" w:cs="Arial"/>
                      <w:szCs w:val="24"/>
                      <w:lang w:eastAsia="en-US"/>
                    </w:rPr>
                    <w:t>ncial planning</w:t>
                  </w:r>
                  <w:r w:rsidR="005A3B67">
                    <w:rPr>
                      <w:rFonts w:ascii="Calibri Light" w:eastAsia="Calibri" w:hAnsi="Calibri Light" w:cs="Arial"/>
                      <w:szCs w:val="24"/>
                      <w:lang w:eastAsia="en-US"/>
                    </w:rPr>
                    <w:t xml:space="preserve"> difficult</w:t>
                  </w:r>
                  <w:r w:rsidR="00A00C79">
                    <w:rPr>
                      <w:rFonts w:ascii="Calibri Light" w:eastAsia="Calibri" w:hAnsi="Calibri Light" w:cs="Arial"/>
                      <w:szCs w:val="24"/>
                      <w:lang w:eastAsia="en-US"/>
                    </w:rPr>
                    <w:t xml:space="preserve">. </w:t>
                  </w:r>
                  <w:r w:rsidR="005A3B67">
                    <w:rPr>
                      <w:rFonts w:ascii="Calibri Light" w:eastAsia="Calibri" w:hAnsi="Calibri Light" w:cs="Arial"/>
                      <w:szCs w:val="24"/>
                      <w:lang w:eastAsia="en-US"/>
                    </w:rPr>
                    <w:t>In addition</w:t>
                  </w:r>
                  <w:r w:rsidR="00A00C79">
                    <w:rPr>
                      <w:rFonts w:ascii="Calibri Light" w:eastAsia="Calibri" w:hAnsi="Calibri Light" w:cs="Arial"/>
                      <w:szCs w:val="24"/>
                      <w:lang w:eastAsia="en-US"/>
                    </w:rPr>
                    <w:t>, the impact of inflation means there are clear uncertainties for planning in respect of future years' cost pressures that will provide the greatest risk to financial planning in the next 12 months.</w:t>
                  </w:r>
                </w:p>
                <w:p w14:paraId="301EE5A8" w14:textId="2A46818B" w:rsidR="004E6102" w:rsidRPr="00970F0E"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 xml:space="preserve">Increasingly the burden of funding forces is being passed to local council taxpayers by central government and the ability to </w:t>
                  </w:r>
                  <w:r w:rsidRPr="00970F0E">
                    <w:rPr>
                      <w:rFonts w:ascii="Calibri Light" w:eastAsia="Calibri" w:hAnsi="Calibri Light" w:cs="Arial"/>
                      <w:szCs w:val="24"/>
                      <w:lang w:eastAsia="en-US"/>
                    </w:rPr>
                    <w:lastRenderedPageBreak/>
                    <w:t>continue to increase council tax charges will be tested in future years.</w:t>
                  </w:r>
                  <w:r>
                    <w:rPr>
                      <w:rFonts w:ascii="Calibri Light" w:eastAsia="Calibri" w:hAnsi="Calibri Light" w:cs="Arial"/>
                      <w:szCs w:val="24"/>
                      <w:lang w:eastAsia="en-US"/>
                    </w:rPr>
                    <w:t xml:space="preserve"> </w:t>
                  </w:r>
                </w:p>
                <w:p w14:paraId="2C5D1D0C" w14:textId="77777777" w:rsidR="004E6102" w:rsidRDefault="004E6102" w:rsidP="004E6102">
                  <w:pPr>
                    <w:spacing w:after="160" w:line="259" w:lineRule="auto"/>
                    <w:rPr>
                      <w:rFonts w:ascii="Calibri Light" w:eastAsia="Calibri" w:hAnsi="Calibri Light" w:cs="Arial"/>
                      <w:szCs w:val="24"/>
                      <w:lang w:eastAsia="en-US"/>
                    </w:rPr>
                  </w:pPr>
                  <w:r w:rsidRPr="00970F0E">
                    <w:rPr>
                      <w:rFonts w:ascii="Calibri Light" w:eastAsia="Calibri" w:hAnsi="Calibri Light" w:cs="Arial"/>
                      <w:szCs w:val="24"/>
                      <w:lang w:eastAsia="en-US"/>
                    </w:rPr>
                    <w:t>The 4-year medium term financial plan reflects our local ‘best estimate’ of future inflation rates and government grants and contributions.</w:t>
                  </w:r>
                </w:p>
                <w:p w14:paraId="0B3025FC" w14:textId="702FD1BB" w:rsidR="004E6102" w:rsidRPr="00970F0E" w:rsidRDefault="007C1352" w:rsidP="004E6102">
                  <w:pPr>
                    <w:spacing w:after="160" w:line="259" w:lineRule="auto"/>
                    <w:rPr>
                      <w:rFonts w:ascii="Calibri Light" w:eastAsia="Calibri" w:hAnsi="Calibri Light" w:cs="Arial"/>
                      <w:szCs w:val="24"/>
                      <w:lang w:eastAsia="en-US"/>
                    </w:rPr>
                  </w:pPr>
                  <w:r w:rsidRPr="007379F7">
                    <w:rPr>
                      <w:rFonts w:ascii="Calibri Light" w:eastAsia="Calibri" w:hAnsi="Calibri Light" w:cs="Arial"/>
                      <w:szCs w:val="24"/>
                      <w:lang w:eastAsia="en-US"/>
                    </w:rPr>
                    <w:t>The budget for 2024</w:t>
                  </w:r>
                  <w:r w:rsidR="005A3B67">
                    <w:rPr>
                      <w:rFonts w:ascii="Calibri Light" w:eastAsia="Calibri" w:hAnsi="Calibri Light" w:cs="Arial"/>
                      <w:szCs w:val="24"/>
                      <w:lang w:eastAsia="en-US"/>
                    </w:rPr>
                    <w:t>/25</w:t>
                  </w:r>
                  <w:r w:rsidRPr="007379F7">
                    <w:rPr>
                      <w:rFonts w:ascii="Calibri Light" w:eastAsia="Calibri" w:hAnsi="Calibri Light" w:cs="Arial"/>
                      <w:szCs w:val="24"/>
                      <w:lang w:eastAsia="en-US"/>
                    </w:rPr>
                    <w:t xml:space="preserve"> meets</w:t>
                  </w:r>
                  <w:r w:rsidR="007379F7" w:rsidRPr="007379F7">
                    <w:rPr>
                      <w:rFonts w:ascii="Calibri Light" w:eastAsia="Calibri" w:hAnsi="Calibri Light" w:cs="Arial"/>
                      <w:szCs w:val="24"/>
                      <w:lang w:eastAsia="en-US"/>
                    </w:rPr>
                    <w:t xml:space="preserve"> </w:t>
                  </w:r>
                  <w:r w:rsidRPr="007379F7">
                    <w:rPr>
                      <w:rFonts w:ascii="Calibri Light" w:eastAsia="Calibri" w:hAnsi="Calibri Light" w:cs="Arial"/>
                      <w:szCs w:val="24"/>
                      <w:lang w:eastAsia="en-US"/>
                    </w:rPr>
                    <w:t xml:space="preserve">the requirement to maintain the </w:t>
                  </w:r>
                  <w:r w:rsidR="007379F7">
                    <w:rPr>
                      <w:rFonts w:ascii="Calibri Light" w:eastAsia="Calibri" w:hAnsi="Calibri Light" w:cs="Arial"/>
                      <w:szCs w:val="24"/>
                      <w:lang w:eastAsia="en-US"/>
                    </w:rPr>
                    <w:t>5</w:t>
                  </w:r>
                  <w:r w:rsidR="005A3B67">
                    <w:rPr>
                      <w:rFonts w:ascii="Calibri Light" w:eastAsia="Calibri" w:hAnsi="Calibri Light" w:cs="Arial"/>
                      <w:szCs w:val="24"/>
                      <w:lang w:eastAsia="en-US"/>
                    </w:rPr>
                    <w:t>54</w:t>
                  </w:r>
                  <w:r w:rsidR="007379F7">
                    <w:rPr>
                      <w:rFonts w:ascii="Calibri Light" w:eastAsia="Calibri" w:hAnsi="Calibri Light" w:cs="Arial"/>
                      <w:szCs w:val="24"/>
                      <w:lang w:eastAsia="en-US"/>
                    </w:rPr>
                    <w:t xml:space="preserve"> </w:t>
                  </w:r>
                  <w:r w:rsidRPr="007379F7">
                    <w:rPr>
                      <w:rFonts w:ascii="Calibri Light" w:eastAsia="Calibri" w:hAnsi="Calibri Light" w:cs="Arial"/>
                      <w:szCs w:val="24"/>
                      <w:lang w:eastAsia="en-US"/>
                    </w:rPr>
                    <w:t>additional officers delivered through the national uplift programme</w:t>
                  </w:r>
                  <w:r w:rsidR="005A3B67">
                    <w:rPr>
                      <w:rFonts w:ascii="Calibri Light" w:eastAsia="Calibri" w:hAnsi="Calibri Light" w:cs="Arial"/>
                      <w:szCs w:val="24"/>
                      <w:lang w:eastAsia="en-US"/>
                    </w:rPr>
                    <w:t xml:space="preserve"> plus a further 25 for which additional uplift funding has been secured for 2024/25</w:t>
                  </w:r>
                  <w:r w:rsidR="007379F7" w:rsidRPr="007379F7">
                    <w:rPr>
                      <w:rFonts w:ascii="Calibri Light" w:eastAsia="Calibri" w:hAnsi="Calibri Light" w:cs="Arial"/>
                      <w:szCs w:val="24"/>
                      <w:lang w:eastAsia="en-US"/>
                    </w:rPr>
                    <w:t>. In addition</w:t>
                  </w:r>
                  <w:r w:rsidR="007379F7">
                    <w:rPr>
                      <w:rFonts w:ascii="Calibri Light" w:eastAsia="Calibri" w:hAnsi="Calibri Light" w:cs="Arial"/>
                      <w:szCs w:val="24"/>
                      <w:lang w:eastAsia="en-US"/>
                    </w:rPr>
                    <w:t>,</w:t>
                  </w:r>
                  <w:r w:rsidR="007379F7" w:rsidRPr="007379F7">
                    <w:rPr>
                      <w:rFonts w:ascii="Calibri Light" w:eastAsia="Calibri" w:hAnsi="Calibri Light" w:cs="Arial"/>
                      <w:szCs w:val="24"/>
                      <w:lang w:eastAsia="en-US"/>
                    </w:rPr>
                    <w:t xml:space="preserve"> the Commissioner is ma</w:t>
                  </w:r>
                  <w:r w:rsidR="007379F7">
                    <w:rPr>
                      <w:rFonts w:ascii="Calibri Light" w:eastAsia="Calibri" w:hAnsi="Calibri Light" w:cs="Arial"/>
                      <w:szCs w:val="24"/>
                      <w:lang w:eastAsia="en-US"/>
                    </w:rPr>
                    <w:t>in</w:t>
                  </w:r>
                  <w:r w:rsidR="007379F7" w:rsidRPr="007379F7">
                    <w:rPr>
                      <w:rFonts w:ascii="Calibri Light" w:eastAsia="Calibri" w:hAnsi="Calibri Light" w:cs="Arial"/>
                      <w:szCs w:val="24"/>
                      <w:lang w:eastAsia="en-US"/>
                    </w:rPr>
                    <w:t>t</w:t>
                  </w:r>
                  <w:r w:rsidR="007379F7">
                    <w:rPr>
                      <w:rFonts w:ascii="Calibri Light" w:eastAsia="Calibri" w:hAnsi="Calibri Light" w:cs="Arial"/>
                      <w:szCs w:val="24"/>
                      <w:lang w:eastAsia="en-US"/>
                    </w:rPr>
                    <w:t>a</w:t>
                  </w:r>
                  <w:r w:rsidR="007379F7" w:rsidRPr="007379F7">
                    <w:rPr>
                      <w:rFonts w:ascii="Calibri Light" w:eastAsia="Calibri" w:hAnsi="Calibri Light" w:cs="Arial"/>
                      <w:szCs w:val="24"/>
                      <w:lang w:eastAsia="en-US"/>
                    </w:rPr>
                    <w:t>ining the investment in 103 additional officers delivered through the increase to council tax precept in 2020/21 and 2021/22</w:t>
                  </w:r>
                  <w:r w:rsidR="004E6102" w:rsidRPr="007379F7">
                    <w:rPr>
                      <w:rFonts w:ascii="Calibri Light" w:eastAsia="Calibri" w:hAnsi="Calibri Light" w:cs="Arial"/>
                      <w:szCs w:val="24"/>
                      <w:lang w:eastAsia="en-US"/>
                    </w:rPr>
                    <w:t>.</w:t>
                  </w:r>
                  <w:r w:rsidR="004E6102">
                    <w:rPr>
                      <w:rFonts w:ascii="Calibri Light" w:eastAsia="Calibri" w:hAnsi="Calibri Light" w:cs="Arial"/>
                      <w:szCs w:val="24"/>
                      <w:lang w:eastAsia="en-US"/>
                    </w:rPr>
                    <w:t xml:space="preserve"> </w:t>
                  </w:r>
                </w:p>
              </w:tc>
            </w:tr>
          </w:tbl>
          <w:p w14:paraId="6BBA625D" w14:textId="77777777" w:rsidR="004E6102" w:rsidRPr="00970F0E" w:rsidRDefault="004E6102" w:rsidP="00994D21">
            <w:pPr>
              <w:spacing w:line="259" w:lineRule="auto"/>
              <w:jc w:val="both"/>
              <w:rPr>
                <w:rFonts w:ascii="Calibri Light" w:eastAsia="Calibri" w:hAnsi="Calibri Light" w:cs="Times New Roman"/>
                <w:szCs w:val="24"/>
                <w:lang w:eastAsia="en-US"/>
              </w:rPr>
            </w:pPr>
          </w:p>
          <w:p w14:paraId="685C76A7"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The current policy is to maintain general balances at a guideline level of between 3% and 5% of annual net revenue expenditure budget.</w:t>
            </w:r>
          </w:p>
          <w:p w14:paraId="3E40E206" w14:textId="77777777" w:rsidR="004E6102" w:rsidRPr="007379F7"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It is </w:t>
            </w:r>
            <w:r w:rsidRPr="00970F0E">
              <w:rPr>
                <w:rFonts w:ascii="Calibri Light" w:eastAsia="Calibri" w:hAnsi="Calibri Light"/>
                <w:b/>
                <w:bCs/>
                <w:color w:val="000000"/>
                <w:szCs w:val="24"/>
                <w:u w:val="single"/>
                <w:lang w:eastAsia="en-US"/>
              </w:rPr>
              <w:t xml:space="preserve">recommended that the Commissioner agree a strategy to maintain a general reserve at a </w:t>
            </w:r>
            <w:r w:rsidRPr="007379F7">
              <w:rPr>
                <w:rFonts w:ascii="Calibri Light" w:eastAsia="Calibri" w:hAnsi="Calibri Light"/>
                <w:b/>
                <w:bCs/>
                <w:color w:val="000000"/>
                <w:szCs w:val="24"/>
                <w:u w:val="single"/>
                <w:lang w:eastAsia="en-US"/>
              </w:rPr>
              <w:t>level between 3% and 5% of the revenue budget</w:t>
            </w:r>
            <w:r w:rsidRPr="007379F7">
              <w:rPr>
                <w:rFonts w:ascii="Calibri Light" w:eastAsia="Calibri" w:hAnsi="Calibri Light"/>
                <w:bCs/>
                <w:color w:val="000000"/>
                <w:szCs w:val="24"/>
                <w:lang w:eastAsia="en-US"/>
              </w:rPr>
              <w:t xml:space="preserve">. </w:t>
            </w:r>
          </w:p>
          <w:p w14:paraId="5A2BD599" w14:textId="5EA5702E" w:rsidR="004E6102" w:rsidRPr="007379F7"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7379F7">
              <w:rPr>
                <w:rFonts w:ascii="Calibri Light" w:eastAsia="Calibri" w:hAnsi="Calibri Light"/>
                <w:bCs/>
                <w:color w:val="000000"/>
                <w:szCs w:val="24"/>
                <w:lang w:eastAsia="en-US"/>
              </w:rPr>
              <w:t xml:space="preserve">The level of </w:t>
            </w:r>
            <w:r w:rsidRPr="007D72B6">
              <w:rPr>
                <w:rFonts w:ascii="Calibri Light" w:eastAsia="Calibri" w:hAnsi="Calibri Light"/>
                <w:b/>
                <w:color w:val="000000"/>
                <w:szCs w:val="24"/>
                <w:lang w:eastAsia="en-US"/>
              </w:rPr>
              <w:t xml:space="preserve">general </w:t>
            </w:r>
            <w:r w:rsidR="007D72B6" w:rsidRPr="007D72B6">
              <w:rPr>
                <w:rFonts w:ascii="Calibri Light" w:eastAsia="Calibri" w:hAnsi="Calibri Light"/>
                <w:b/>
                <w:color w:val="000000"/>
                <w:szCs w:val="24"/>
                <w:lang w:eastAsia="en-US"/>
              </w:rPr>
              <w:t>reserves</w:t>
            </w:r>
            <w:r w:rsidRPr="007379F7">
              <w:rPr>
                <w:rFonts w:ascii="Calibri Light" w:eastAsia="Calibri" w:hAnsi="Calibri Light"/>
                <w:bCs/>
                <w:color w:val="000000"/>
                <w:szCs w:val="24"/>
                <w:lang w:eastAsia="en-US"/>
              </w:rPr>
              <w:t xml:space="preserve"> </w:t>
            </w:r>
            <w:r w:rsidR="007379F7" w:rsidRPr="007379F7">
              <w:rPr>
                <w:rFonts w:ascii="Calibri Light" w:eastAsia="Calibri" w:hAnsi="Calibri Light"/>
                <w:bCs/>
                <w:color w:val="000000"/>
                <w:szCs w:val="24"/>
                <w:lang w:eastAsia="en-US"/>
              </w:rPr>
              <w:t xml:space="preserve">forecast for </w:t>
            </w:r>
            <w:r w:rsidRPr="007379F7">
              <w:rPr>
                <w:rFonts w:ascii="Calibri Light" w:eastAsia="Calibri" w:hAnsi="Calibri Light"/>
                <w:bCs/>
                <w:color w:val="000000"/>
                <w:szCs w:val="24"/>
                <w:lang w:eastAsia="en-US"/>
              </w:rPr>
              <w:t>31st March 202</w:t>
            </w:r>
            <w:r w:rsidR="003F40A0">
              <w:rPr>
                <w:rFonts w:ascii="Calibri Light" w:eastAsia="Calibri" w:hAnsi="Calibri Light"/>
                <w:bCs/>
                <w:color w:val="000000"/>
                <w:szCs w:val="24"/>
                <w:lang w:eastAsia="en-US"/>
              </w:rPr>
              <w:t>4</w:t>
            </w:r>
            <w:r w:rsidR="007379F7" w:rsidRPr="007379F7">
              <w:rPr>
                <w:rFonts w:ascii="Calibri Light" w:eastAsia="Calibri" w:hAnsi="Calibri Light"/>
                <w:bCs/>
                <w:color w:val="000000"/>
                <w:szCs w:val="24"/>
                <w:lang w:eastAsia="en-US"/>
              </w:rPr>
              <w:t xml:space="preserve"> is</w:t>
            </w:r>
            <w:r w:rsidRPr="007379F7">
              <w:rPr>
                <w:rFonts w:ascii="Calibri Light" w:eastAsia="Calibri" w:hAnsi="Calibri Light"/>
                <w:bCs/>
                <w:color w:val="000000"/>
                <w:szCs w:val="24"/>
                <w:lang w:eastAsia="en-US"/>
              </w:rPr>
              <w:t xml:space="preserve"> </w:t>
            </w:r>
            <w:r w:rsidR="005A3B67" w:rsidRPr="005A3B67">
              <w:rPr>
                <w:rFonts w:ascii="Calibri Light" w:eastAsia="Calibri" w:hAnsi="Calibri Light"/>
                <w:b/>
                <w:color w:val="000000"/>
                <w:szCs w:val="24"/>
                <w:lang w:eastAsia="en-US"/>
              </w:rPr>
              <w:t>£17.710m or 4.5%</w:t>
            </w:r>
            <w:r w:rsidR="005A3B67">
              <w:rPr>
                <w:rFonts w:ascii="Calibri Light" w:eastAsia="Calibri" w:hAnsi="Calibri Light"/>
                <w:b/>
                <w:color w:val="000000"/>
                <w:szCs w:val="24"/>
                <w:lang w:eastAsia="en-US"/>
              </w:rPr>
              <w:t xml:space="preserve"> </w:t>
            </w:r>
            <w:r w:rsidR="005A3B67" w:rsidRPr="005A3B67">
              <w:rPr>
                <w:rFonts w:ascii="Calibri Light" w:eastAsia="Calibri" w:hAnsi="Calibri Light"/>
                <w:bCs/>
                <w:color w:val="000000"/>
                <w:szCs w:val="24"/>
                <w:lang w:eastAsia="en-US"/>
              </w:rPr>
              <w:t>of the revenue budget</w:t>
            </w:r>
            <w:r w:rsidRPr="007379F7">
              <w:rPr>
                <w:rFonts w:ascii="Calibri Light" w:eastAsia="Calibri" w:hAnsi="Calibri Light"/>
                <w:bCs/>
                <w:color w:val="000000"/>
                <w:szCs w:val="24"/>
                <w:lang w:eastAsia="en-US"/>
              </w:rPr>
              <w:t>.</w:t>
            </w:r>
          </w:p>
          <w:p w14:paraId="5EAE2B1E"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Potential requirements to draw down from the general reserve in future years are monitored and reported to the Commissioner throughout the year and will be reflected in the annual review of the </w:t>
            </w:r>
            <w:r>
              <w:rPr>
                <w:rFonts w:ascii="Calibri Light" w:eastAsia="Calibri" w:hAnsi="Calibri Light"/>
                <w:bCs/>
                <w:color w:val="000000"/>
                <w:szCs w:val="24"/>
                <w:lang w:eastAsia="en-US"/>
              </w:rPr>
              <w:t>R</w:t>
            </w:r>
            <w:r w:rsidRPr="00970F0E">
              <w:rPr>
                <w:rFonts w:ascii="Calibri Light" w:eastAsia="Calibri" w:hAnsi="Calibri Light"/>
                <w:bCs/>
                <w:color w:val="000000"/>
                <w:szCs w:val="24"/>
                <w:lang w:eastAsia="en-US"/>
              </w:rPr>
              <w:t xml:space="preserve">eserves </w:t>
            </w:r>
            <w:r>
              <w:rPr>
                <w:rFonts w:ascii="Calibri Light" w:eastAsia="Calibri" w:hAnsi="Calibri Light"/>
                <w:bCs/>
                <w:color w:val="000000"/>
                <w:szCs w:val="24"/>
                <w:lang w:eastAsia="en-US"/>
              </w:rPr>
              <w:t>S</w:t>
            </w:r>
            <w:r w:rsidRPr="00970F0E">
              <w:rPr>
                <w:rFonts w:ascii="Calibri Light" w:eastAsia="Calibri" w:hAnsi="Calibri Light"/>
                <w:bCs/>
                <w:color w:val="000000"/>
                <w:szCs w:val="24"/>
                <w:lang w:eastAsia="en-US"/>
              </w:rPr>
              <w:t>trategy.</w:t>
            </w:r>
          </w:p>
          <w:p w14:paraId="5AB90440" w14:textId="77777777" w:rsidR="004E6102" w:rsidRDefault="004E6102" w:rsidP="00994D21">
            <w:pPr>
              <w:tabs>
                <w:tab w:val="left" w:pos="6530"/>
              </w:tabs>
              <w:autoSpaceDE w:val="0"/>
              <w:autoSpaceDN w:val="0"/>
              <w:adjustRightInd w:val="0"/>
              <w:rPr>
                <w:rFonts w:ascii="Calibri Light" w:eastAsia="Calibri" w:hAnsi="Calibri Light"/>
                <w:bCs/>
                <w:color w:val="000000"/>
                <w:szCs w:val="24"/>
                <w:lang w:eastAsia="en-US"/>
              </w:rPr>
            </w:pPr>
          </w:p>
          <w:p w14:paraId="06E4E9BD" w14:textId="77777777" w:rsidR="004E6102" w:rsidRPr="007379F7"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7379F7">
              <w:rPr>
                <w:rFonts w:ascii="Calibri Light" w:eastAsia="Calibri" w:hAnsi="Calibri Light"/>
                <w:b/>
                <w:bCs/>
                <w:color w:val="000000"/>
                <w:szCs w:val="24"/>
                <w:lang w:eastAsia="en-US"/>
              </w:rPr>
              <w:t xml:space="preserve">Earmarked Reserves </w:t>
            </w:r>
          </w:p>
          <w:p w14:paraId="16E7AD03" w14:textId="77777777" w:rsidR="004E6102" w:rsidRPr="007379F7" w:rsidRDefault="004E6102" w:rsidP="005A3B67">
            <w:pPr>
              <w:numPr>
                <w:ilvl w:val="1"/>
                <w:numId w:val="44"/>
              </w:numPr>
              <w:autoSpaceDE w:val="0"/>
              <w:autoSpaceDN w:val="0"/>
              <w:adjustRightInd w:val="0"/>
              <w:spacing w:after="240" w:line="259" w:lineRule="auto"/>
              <w:ind w:left="426"/>
              <w:rPr>
                <w:rFonts w:ascii="Calibri Light" w:eastAsia="Calibri" w:hAnsi="Calibri Light"/>
                <w:bCs/>
                <w:color w:val="000000"/>
                <w:szCs w:val="24"/>
                <w:lang w:eastAsia="en-US"/>
              </w:rPr>
            </w:pPr>
            <w:r w:rsidRPr="007379F7">
              <w:rPr>
                <w:rFonts w:ascii="Calibri Light" w:eastAsia="Calibri" w:hAnsi="Calibri Light"/>
                <w:bCs/>
                <w:color w:val="000000"/>
                <w:szCs w:val="24"/>
                <w:lang w:eastAsia="en-US"/>
              </w:rPr>
              <w:t xml:space="preserve"> Reserves are also held to meet specific </w:t>
            </w:r>
            <w:proofErr w:type="gramStart"/>
            <w:r w:rsidRPr="007379F7">
              <w:rPr>
                <w:rFonts w:ascii="Calibri Light" w:eastAsia="Calibri" w:hAnsi="Calibri Light"/>
                <w:bCs/>
                <w:color w:val="000000"/>
                <w:szCs w:val="24"/>
                <w:lang w:eastAsia="en-US"/>
              </w:rPr>
              <w:t>purposes,</w:t>
            </w:r>
            <w:proofErr w:type="gramEnd"/>
            <w:r w:rsidRPr="007379F7">
              <w:rPr>
                <w:rFonts w:ascii="Calibri Light" w:eastAsia="Calibri" w:hAnsi="Calibri Light"/>
                <w:bCs/>
                <w:color w:val="000000"/>
                <w:szCs w:val="24"/>
                <w:lang w:eastAsia="en-US"/>
              </w:rPr>
              <w:t xml:space="preserve"> they are currently grouped together as “Earmarked Reserves”; they are included here to allow the full picture of financial risks covered to be considered alongside general reserves. The table below sets out the earmarked reserves held.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4509"/>
              <w:gridCol w:w="919"/>
              <w:gridCol w:w="1041"/>
            </w:tblGrid>
            <w:tr w:rsidR="004E6102" w:rsidRPr="00220833" w14:paraId="6CE72392" w14:textId="77777777" w:rsidTr="00623987">
              <w:trPr>
                <w:trHeight w:val="315"/>
                <w:jc w:val="center"/>
              </w:trPr>
              <w:tc>
                <w:tcPr>
                  <w:tcW w:w="0" w:type="auto"/>
                  <w:shd w:val="clear" w:color="auto" w:fill="auto"/>
                  <w:noWrap/>
                  <w:vAlign w:val="center"/>
                  <w:hideMark/>
                </w:tcPr>
                <w:p w14:paraId="50E50C27" w14:textId="38D968A8" w:rsidR="004E6102" w:rsidRPr="007D72B6" w:rsidRDefault="005A3B67" w:rsidP="004E6102">
                  <w:pPr>
                    <w:rPr>
                      <w:rFonts w:ascii="Calibri Light" w:hAnsi="Calibri Light" w:cs="Times New Roman"/>
                      <w:b/>
                      <w:color w:val="000000"/>
                      <w:szCs w:val="24"/>
                    </w:rPr>
                  </w:pPr>
                  <w:r>
                    <w:rPr>
                      <w:rFonts w:ascii="Calibri Light" w:hAnsi="Calibri Light" w:cs="Times New Roman"/>
                      <w:b/>
                      <w:color w:val="000000"/>
                      <w:szCs w:val="24"/>
                    </w:rPr>
                    <w:t>Earmarked reserves</w:t>
                  </w:r>
                </w:p>
              </w:tc>
              <w:tc>
                <w:tcPr>
                  <w:tcW w:w="0" w:type="auto"/>
                  <w:vAlign w:val="center"/>
                </w:tcPr>
                <w:p w14:paraId="7E10199E" w14:textId="11163B27" w:rsidR="004E6102" w:rsidRPr="007D72B6" w:rsidRDefault="004E6102" w:rsidP="004E6102">
                  <w:pPr>
                    <w:jc w:val="center"/>
                    <w:rPr>
                      <w:rFonts w:ascii="Calibri Light" w:hAnsi="Calibri Light" w:cs="Times New Roman"/>
                      <w:b/>
                      <w:color w:val="000000"/>
                      <w:szCs w:val="24"/>
                    </w:rPr>
                  </w:pPr>
                  <w:r w:rsidRPr="007D72B6">
                    <w:rPr>
                      <w:rFonts w:ascii="Calibri Light" w:hAnsi="Calibri Light" w:cs="Times New Roman"/>
                      <w:b/>
                      <w:color w:val="000000"/>
                      <w:szCs w:val="24"/>
                    </w:rPr>
                    <w:t>31/3/2</w:t>
                  </w:r>
                  <w:r w:rsidR="005A3B67">
                    <w:rPr>
                      <w:rFonts w:ascii="Calibri Light" w:hAnsi="Calibri Light" w:cs="Times New Roman"/>
                      <w:b/>
                      <w:color w:val="000000"/>
                      <w:szCs w:val="24"/>
                    </w:rPr>
                    <w:t>4</w:t>
                  </w:r>
                </w:p>
              </w:tc>
              <w:tc>
                <w:tcPr>
                  <w:tcW w:w="0" w:type="auto"/>
                  <w:vAlign w:val="center"/>
                </w:tcPr>
                <w:p w14:paraId="4AB3C05A" w14:textId="026BDE73" w:rsidR="004E6102" w:rsidRPr="007D72B6" w:rsidRDefault="00D73509" w:rsidP="004E6102">
                  <w:pPr>
                    <w:jc w:val="center"/>
                    <w:rPr>
                      <w:rFonts w:ascii="Calibri Light" w:hAnsi="Calibri Light" w:cs="Times New Roman"/>
                      <w:b/>
                      <w:color w:val="000000"/>
                      <w:szCs w:val="24"/>
                    </w:rPr>
                  </w:pPr>
                  <w:r w:rsidRPr="007D72B6">
                    <w:rPr>
                      <w:rFonts w:ascii="Calibri Light" w:hAnsi="Calibri Light" w:cs="Times New Roman"/>
                      <w:b/>
                      <w:color w:val="000000"/>
                      <w:szCs w:val="24"/>
                    </w:rPr>
                    <w:t>31/</w:t>
                  </w:r>
                  <w:r w:rsidR="005A3B67">
                    <w:rPr>
                      <w:rFonts w:ascii="Calibri Light" w:hAnsi="Calibri Light" w:cs="Times New Roman"/>
                      <w:b/>
                      <w:color w:val="000000"/>
                      <w:szCs w:val="24"/>
                    </w:rPr>
                    <w:t>12</w:t>
                  </w:r>
                  <w:r w:rsidRPr="007D72B6">
                    <w:rPr>
                      <w:rFonts w:ascii="Calibri Light" w:hAnsi="Calibri Light" w:cs="Times New Roman"/>
                      <w:b/>
                      <w:color w:val="000000"/>
                      <w:szCs w:val="24"/>
                    </w:rPr>
                    <w:t>/2</w:t>
                  </w:r>
                  <w:r w:rsidR="007379F7" w:rsidRPr="007D72B6">
                    <w:rPr>
                      <w:rFonts w:ascii="Calibri Light" w:hAnsi="Calibri Light" w:cs="Times New Roman"/>
                      <w:b/>
                      <w:color w:val="000000"/>
                      <w:szCs w:val="24"/>
                    </w:rPr>
                    <w:t>4</w:t>
                  </w:r>
                </w:p>
              </w:tc>
            </w:tr>
            <w:tr w:rsidR="004E6102" w:rsidRPr="00220833" w14:paraId="7204159E" w14:textId="77777777" w:rsidTr="00623987">
              <w:trPr>
                <w:trHeight w:val="315"/>
                <w:jc w:val="center"/>
              </w:trPr>
              <w:tc>
                <w:tcPr>
                  <w:tcW w:w="0" w:type="auto"/>
                  <w:shd w:val="clear" w:color="auto" w:fill="auto"/>
                  <w:noWrap/>
                  <w:vAlign w:val="center"/>
                  <w:hideMark/>
                </w:tcPr>
                <w:p w14:paraId="7A4C80EF" w14:textId="77777777" w:rsidR="004E6102" w:rsidRPr="007D72B6" w:rsidRDefault="004E6102" w:rsidP="004E6102">
                  <w:pPr>
                    <w:rPr>
                      <w:rFonts w:ascii="Calibri Light" w:hAnsi="Calibri Light" w:cs="Times New Roman"/>
                      <w:b/>
                      <w:color w:val="000000"/>
                      <w:szCs w:val="24"/>
                    </w:rPr>
                  </w:pPr>
                </w:p>
              </w:tc>
              <w:tc>
                <w:tcPr>
                  <w:tcW w:w="0" w:type="auto"/>
                  <w:vAlign w:val="center"/>
                </w:tcPr>
                <w:p w14:paraId="63FB5C6A" w14:textId="77777777" w:rsidR="004E6102" w:rsidRPr="007D72B6" w:rsidRDefault="004E6102" w:rsidP="004E6102">
                  <w:pPr>
                    <w:spacing w:line="259" w:lineRule="auto"/>
                    <w:jc w:val="center"/>
                    <w:rPr>
                      <w:rFonts w:ascii="Calibri Light" w:hAnsi="Calibri Light" w:cs="Times New Roman"/>
                      <w:b/>
                      <w:color w:val="000000"/>
                      <w:szCs w:val="24"/>
                    </w:rPr>
                  </w:pPr>
                  <w:r w:rsidRPr="007D72B6">
                    <w:rPr>
                      <w:rFonts w:ascii="Calibri Light" w:hAnsi="Calibri Light" w:cs="Times New Roman"/>
                      <w:b/>
                      <w:color w:val="000000"/>
                      <w:szCs w:val="24"/>
                    </w:rPr>
                    <w:t>£m</w:t>
                  </w:r>
                </w:p>
              </w:tc>
              <w:tc>
                <w:tcPr>
                  <w:tcW w:w="0" w:type="auto"/>
                  <w:vAlign w:val="center"/>
                </w:tcPr>
                <w:p w14:paraId="3D1537A2" w14:textId="77777777" w:rsidR="004E6102" w:rsidRPr="007D72B6" w:rsidRDefault="004E6102" w:rsidP="004E6102">
                  <w:pPr>
                    <w:spacing w:line="259" w:lineRule="auto"/>
                    <w:jc w:val="center"/>
                    <w:rPr>
                      <w:rFonts w:ascii="Calibri Light" w:hAnsi="Calibri Light" w:cs="Times New Roman"/>
                      <w:b/>
                      <w:color w:val="000000"/>
                      <w:szCs w:val="24"/>
                    </w:rPr>
                  </w:pPr>
                  <w:r w:rsidRPr="007D72B6">
                    <w:rPr>
                      <w:rFonts w:ascii="Calibri Light" w:hAnsi="Calibri Light" w:cs="Times New Roman"/>
                      <w:b/>
                      <w:color w:val="000000"/>
                      <w:szCs w:val="24"/>
                    </w:rPr>
                    <w:t>£m</w:t>
                  </w:r>
                </w:p>
              </w:tc>
            </w:tr>
            <w:tr w:rsidR="004E6102" w:rsidRPr="00220833" w14:paraId="6F369145" w14:textId="77777777" w:rsidTr="00623987">
              <w:trPr>
                <w:trHeight w:val="315"/>
                <w:jc w:val="center"/>
              </w:trPr>
              <w:tc>
                <w:tcPr>
                  <w:tcW w:w="0" w:type="auto"/>
                  <w:shd w:val="clear" w:color="auto" w:fill="auto"/>
                  <w:noWrap/>
                  <w:vAlign w:val="center"/>
                </w:tcPr>
                <w:p w14:paraId="4DBEB8A6" w14:textId="77777777" w:rsidR="004E6102" w:rsidRPr="007D72B6" w:rsidRDefault="004E6102" w:rsidP="004E6102">
                  <w:pPr>
                    <w:rPr>
                      <w:rFonts w:ascii="Calibri Light" w:hAnsi="Calibri Light" w:cs="Times New Roman"/>
                      <w:b/>
                      <w:color w:val="000000"/>
                      <w:szCs w:val="24"/>
                    </w:rPr>
                  </w:pPr>
                  <w:r w:rsidRPr="007D72B6">
                    <w:rPr>
                      <w:rFonts w:ascii="Calibri Light" w:hAnsi="Calibri Light" w:cs="Times New Roman"/>
                      <w:b/>
                      <w:color w:val="000000"/>
                      <w:szCs w:val="24"/>
                    </w:rPr>
                    <w:t>Reserves held for 'one-off' investment</w:t>
                  </w:r>
                </w:p>
              </w:tc>
              <w:tc>
                <w:tcPr>
                  <w:tcW w:w="0" w:type="auto"/>
                  <w:vAlign w:val="center"/>
                </w:tcPr>
                <w:p w14:paraId="28BE9764" w14:textId="77777777" w:rsidR="004E6102" w:rsidRPr="007D72B6" w:rsidRDefault="004E6102" w:rsidP="004E6102">
                  <w:pPr>
                    <w:ind w:right="255"/>
                    <w:jc w:val="right"/>
                    <w:rPr>
                      <w:rFonts w:ascii="Calibri Light" w:hAnsi="Calibri Light" w:cs="Times New Roman"/>
                      <w:color w:val="000000"/>
                      <w:szCs w:val="24"/>
                    </w:rPr>
                  </w:pPr>
                </w:p>
              </w:tc>
              <w:tc>
                <w:tcPr>
                  <w:tcW w:w="0" w:type="auto"/>
                  <w:vAlign w:val="center"/>
                </w:tcPr>
                <w:p w14:paraId="32C29E10" w14:textId="77777777" w:rsidR="004E6102" w:rsidRPr="007D72B6" w:rsidRDefault="004E6102" w:rsidP="004E6102">
                  <w:pPr>
                    <w:ind w:right="255"/>
                    <w:jc w:val="right"/>
                    <w:rPr>
                      <w:rFonts w:ascii="Calibri Light" w:hAnsi="Calibri Light" w:cs="Times New Roman"/>
                      <w:color w:val="000000"/>
                      <w:szCs w:val="24"/>
                    </w:rPr>
                  </w:pPr>
                </w:p>
              </w:tc>
            </w:tr>
            <w:tr w:rsidR="004E6102" w:rsidRPr="00220833" w14:paraId="6A9FBC73" w14:textId="77777777" w:rsidTr="00623987">
              <w:trPr>
                <w:trHeight w:val="315"/>
                <w:jc w:val="center"/>
              </w:trPr>
              <w:tc>
                <w:tcPr>
                  <w:tcW w:w="0" w:type="auto"/>
                  <w:shd w:val="clear" w:color="auto" w:fill="auto"/>
                  <w:noWrap/>
                  <w:vAlign w:val="center"/>
                  <w:hideMark/>
                </w:tcPr>
                <w:p w14:paraId="1B6FEC85" w14:textId="77777777" w:rsidR="004E6102" w:rsidRPr="007D72B6" w:rsidRDefault="004E6102" w:rsidP="004E6102">
                  <w:pPr>
                    <w:rPr>
                      <w:rFonts w:ascii="Calibri Light" w:hAnsi="Calibri Light" w:cs="Times New Roman"/>
                      <w:color w:val="000000"/>
                      <w:szCs w:val="24"/>
                    </w:rPr>
                  </w:pPr>
                  <w:r w:rsidRPr="007D72B6">
                    <w:rPr>
                      <w:rFonts w:ascii="Calibri Light" w:hAnsi="Calibri Light" w:cs="Times New Roman"/>
                      <w:color w:val="000000"/>
                      <w:szCs w:val="24"/>
                    </w:rPr>
                    <w:t>Transition Reserve</w:t>
                  </w:r>
                </w:p>
              </w:tc>
              <w:tc>
                <w:tcPr>
                  <w:tcW w:w="0" w:type="auto"/>
                  <w:vAlign w:val="center"/>
                </w:tcPr>
                <w:p w14:paraId="2FD165E3" w14:textId="212F0867" w:rsidR="004E6102" w:rsidRPr="007D72B6" w:rsidRDefault="001638CE" w:rsidP="00994D21">
                  <w:pPr>
                    <w:ind w:right="70"/>
                    <w:jc w:val="right"/>
                    <w:rPr>
                      <w:rFonts w:ascii="Calibri Light" w:hAnsi="Calibri Light" w:cs="Times New Roman"/>
                      <w:color w:val="000000"/>
                      <w:szCs w:val="24"/>
                    </w:rPr>
                  </w:pPr>
                  <w:r>
                    <w:rPr>
                      <w:rFonts w:ascii="Calibri Light" w:hAnsi="Calibri Light" w:cs="Times New Roman"/>
                      <w:color w:val="000000"/>
                      <w:szCs w:val="24"/>
                    </w:rPr>
                    <w:t>4.283</w:t>
                  </w:r>
                </w:p>
              </w:tc>
              <w:tc>
                <w:tcPr>
                  <w:tcW w:w="0" w:type="auto"/>
                  <w:vAlign w:val="center"/>
                </w:tcPr>
                <w:p w14:paraId="0F3E7874" w14:textId="6D5458B8" w:rsidR="004E6102"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4.283</w:t>
                  </w:r>
                </w:p>
              </w:tc>
            </w:tr>
            <w:tr w:rsidR="004E6102" w:rsidRPr="00220833" w14:paraId="5008973E" w14:textId="77777777" w:rsidTr="00623987">
              <w:trPr>
                <w:trHeight w:val="309"/>
                <w:jc w:val="center"/>
              </w:trPr>
              <w:tc>
                <w:tcPr>
                  <w:tcW w:w="0" w:type="auto"/>
                  <w:shd w:val="clear" w:color="auto" w:fill="auto"/>
                  <w:noWrap/>
                  <w:vAlign w:val="center"/>
                </w:tcPr>
                <w:p w14:paraId="11BC7AD9" w14:textId="77777777" w:rsidR="004E6102" w:rsidRPr="007D72B6" w:rsidRDefault="004E6102" w:rsidP="004E6102">
                  <w:pPr>
                    <w:rPr>
                      <w:rFonts w:ascii="Calibri Light" w:hAnsi="Calibri Light" w:cs="Times New Roman"/>
                      <w:color w:val="000000"/>
                      <w:szCs w:val="24"/>
                    </w:rPr>
                  </w:pPr>
                  <w:r w:rsidRPr="007D72B6">
                    <w:rPr>
                      <w:rFonts w:ascii="Calibri Light" w:hAnsi="Calibri Light" w:cs="Times New Roman"/>
                      <w:color w:val="000000"/>
                      <w:szCs w:val="24"/>
                    </w:rPr>
                    <w:t>Forensic Partnership reserve</w:t>
                  </w:r>
                </w:p>
              </w:tc>
              <w:tc>
                <w:tcPr>
                  <w:tcW w:w="0" w:type="auto"/>
                  <w:vAlign w:val="center"/>
                </w:tcPr>
                <w:p w14:paraId="06C1A210" w14:textId="07680F46" w:rsidR="004E6102" w:rsidRPr="007D72B6" w:rsidRDefault="007379F7"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0.2</w:t>
                  </w:r>
                  <w:r w:rsidR="001638CE">
                    <w:rPr>
                      <w:rFonts w:ascii="Calibri Light" w:hAnsi="Calibri Light" w:cs="Times New Roman"/>
                      <w:color w:val="000000"/>
                      <w:szCs w:val="24"/>
                    </w:rPr>
                    <w:t>86</w:t>
                  </w:r>
                </w:p>
              </w:tc>
              <w:tc>
                <w:tcPr>
                  <w:tcW w:w="0" w:type="auto"/>
                  <w:vAlign w:val="center"/>
                </w:tcPr>
                <w:p w14:paraId="4D730160" w14:textId="0C4321BB" w:rsidR="004E6102"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0.328</w:t>
                  </w:r>
                </w:p>
              </w:tc>
            </w:tr>
            <w:tr w:rsidR="004E6102" w:rsidRPr="00220833" w14:paraId="0163D998" w14:textId="77777777" w:rsidTr="00623987">
              <w:trPr>
                <w:trHeight w:val="315"/>
                <w:jc w:val="center"/>
              </w:trPr>
              <w:tc>
                <w:tcPr>
                  <w:tcW w:w="0" w:type="auto"/>
                  <w:shd w:val="clear" w:color="auto" w:fill="auto"/>
                  <w:noWrap/>
                  <w:vAlign w:val="center"/>
                </w:tcPr>
                <w:p w14:paraId="626807A8" w14:textId="77777777" w:rsidR="004E6102" w:rsidRPr="007D72B6" w:rsidRDefault="004E6102" w:rsidP="004E6102">
                  <w:pPr>
                    <w:rPr>
                      <w:rFonts w:ascii="Calibri Light" w:hAnsi="Calibri Light" w:cs="Times New Roman"/>
                      <w:b/>
                      <w:color w:val="000000"/>
                      <w:szCs w:val="24"/>
                    </w:rPr>
                  </w:pPr>
                  <w:r w:rsidRPr="007D72B6">
                    <w:rPr>
                      <w:rFonts w:ascii="Calibri Light" w:hAnsi="Calibri Light" w:cs="Times New Roman"/>
                      <w:b/>
                      <w:color w:val="000000"/>
                      <w:szCs w:val="24"/>
                    </w:rPr>
                    <w:t>Reserves held to support operational policing</w:t>
                  </w:r>
                </w:p>
              </w:tc>
              <w:tc>
                <w:tcPr>
                  <w:tcW w:w="0" w:type="auto"/>
                  <w:vAlign w:val="center"/>
                </w:tcPr>
                <w:p w14:paraId="4BFAB5C3" w14:textId="734D29A9" w:rsidR="004E6102" w:rsidRPr="007D72B6" w:rsidRDefault="004E6102" w:rsidP="00994D21">
                  <w:pPr>
                    <w:ind w:right="70"/>
                    <w:jc w:val="right"/>
                    <w:rPr>
                      <w:rFonts w:ascii="Calibri Light" w:hAnsi="Calibri Light" w:cs="Times New Roman"/>
                      <w:color w:val="000000"/>
                      <w:szCs w:val="24"/>
                    </w:rPr>
                  </w:pPr>
                </w:p>
              </w:tc>
              <w:tc>
                <w:tcPr>
                  <w:tcW w:w="0" w:type="auto"/>
                  <w:vAlign w:val="center"/>
                </w:tcPr>
                <w:p w14:paraId="6C1BCBBC" w14:textId="376330A0" w:rsidR="004E6102" w:rsidRPr="007D72B6" w:rsidRDefault="004E6102" w:rsidP="005207C0">
                  <w:pPr>
                    <w:ind w:right="57"/>
                    <w:jc w:val="right"/>
                    <w:rPr>
                      <w:rFonts w:ascii="Calibri Light" w:hAnsi="Calibri Light" w:cs="Times New Roman"/>
                      <w:color w:val="000000"/>
                      <w:szCs w:val="24"/>
                    </w:rPr>
                  </w:pPr>
                </w:p>
              </w:tc>
            </w:tr>
            <w:tr w:rsidR="002D6023" w:rsidRPr="00220833" w14:paraId="71F243F1" w14:textId="77777777" w:rsidTr="00623987">
              <w:trPr>
                <w:trHeight w:val="315"/>
                <w:jc w:val="center"/>
              </w:trPr>
              <w:tc>
                <w:tcPr>
                  <w:tcW w:w="0" w:type="auto"/>
                  <w:shd w:val="clear" w:color="auto" w:fill="auto"/>
                  <w:noWrap/>
                  <w:vAlign w:val="center"/>
                </w:tcPr>
                <w:p w14:paraId="5F8860E0" w14:textId="7C5BFEB5" w:rsidR="002D6023" w:rsidRPr="007D72B6" w:rsidRDefault="002D6023" w:rsidP="004E6102">
                  <w:pPr>
                    <w:rPr>
                      <w:rFonts w:ascii="Calibri Light" w:hAnsi="Calibri Light" w:cs="Times New Roman"/>
                      <w:color w:val="000000"/>
                      <w:szCs w:val="24"/>
                    </w:rPr>
                  </w:pPr>
                  <w:r w:rsidRPr="007D72B6">
                    <w:rPr>
                      <w:rFonts w:ascii="Calibri Light" w:hAnsi="Calibri Light" w:cs="Times New Roman"/>
                      <w:color w:val="000000"/>
                      <w:szCs w:val="24"/>
                    </w:rPr>
                    <w:t>Capital financing reserve</w:t>
                  </w:r>
                </w:p>
              </w:tc>
              <w:tc>
                <w:tcPr>
                  <w:tcW w:w="0" w:type="auto"/>
                  <w:vAlign w:val="center"/>
                </w:tcPr>
                <w:p w14:paraId="0DF96298" w14:textId="727C95CD" w:rsidR="002D6023" w:rsidRPr="007D72B6" w:rsidRDefault="002D6023"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0.</w:t>
                  </w:r>
                  <w:r w:rsidR="001638CE">
                    <w:rPr>
                      <w:rFonts w:ascii="Calibri Light" w:hAnsi="Calibri Light" w:cs="Times New Roman"/>
                      <w:color w:val="000000"/>
                      <w:szCs w:val="24"/>
                    </w:rPr>
                    <w:t>101</w:t>
                  </w:r>
                </w:p>
              </w:tc>
              <w:tc>
                <w:tcPr>
                  <w:tcW w:w="0" w:type="auto"/>
                  <w:vAlign w:val="center"/>
                </w:tcPr>
                <w:p w14:paraId="3348264E" w14:textId="39AAD44F" w:rsidR="002D6023"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0.138</w:t>
                  </w:r>
                </w:p>
              </w:tc>
            </w:tr>
            <w:tr w:rsidR="002D6023" w:rsidRPr="00220833" w14:paraId="1BBA6FEE" w14:textId="77777777" w:rsidTr="00623987">
              <w:trPr>
                <w:trHeight w:val="315"/>
                <w:jc w:val="center"/>
              </w:trPr>
              <w:tc>
                <w:tcPr>
                  <w:tcW w:w="0" w:type="auto"/>
                  <w:shd w:val="clear" w:color="auto" w:fill="auto"/>
                  <w:noWrap/>
                  <w:vAlign w:val="center"/>
                </w:tcPr>
                <w:p w14:paraId="0575B4A2" w14:textId="65B99E2F" w:rsidR="002D6023" w:rsidRPr="007D72B6" w:rsidRDefault="002D6023" w:rsidP="004E6102">
                  <w:pPr>
                    <w:rPr>
                      <w:rFonts w:ascii="Calibri Light" w:hAnsi="Calibri Light" w:cs="Times New Roman"/>
                      <w:color w:val="000000"/>
                      <w:szCs w:val="24"/>
                    </w:rPr>
                  </w:pPr>
                  <w:r w:rsidRPr="007D72B6">
                    <w:rPr>
                      <w:rFonts w:ascii="Calibri Light" w:hAnsi="Calibri Light" w:cs="Times New Roman"/>
                      <w:color w:val="000000"/>
                      <w:szCs w:val="24"/>
                    </w:rPr>
                    <w:t>Employee/Public liability reserves</w:t>
                  </w:r>
                </w:p>
              </w:tc>
              <w:tc>
                <w:tcPr>
                  <w:tcW w:w="0" w:type="auto"/>
                  <w:vAlign w:val="center"/>
                </w:tcPr>
                <w:p w14:paraId="0F9F672C" w14:textId="17456DB5" w:rsidR="002D6023" w:rsidRPr="007D72B6" w:rsidRDefault="002D6023"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0.685</w:t>
                  </w:r>
                </w:p>
              </w:tc>
              <w:tc>
                <w:tcPr>
                  <w:tcW w:w="0" w:type="auto"/>
                  <w:vAlign w:val="center"/>
                </w:tcPr>
                <w:p w14:paraId="7145BEED" w14:textId="16FA90BF" w:rsidR="002D6023" w:rsidRPr="007D72B6" w:rsidRDefault="002D6023" w:rsidP="005207C0">
                  <w:pPr>
                    <w:ind w:right="57"/>
                    <w:jc w:val="right"/>
                    <w:rPr>
                      <w:rFonts w:ascii="Calibri Light" w:hAnsi="Calibri Light" w:cs="Times New Roman"/>
                      <w:color w:val="000000"/>
                      <w:szCs w:val="24"/>
                    </w:rPr>
                  </w:pPr>
                  <w:r w:rsidRPr="007D72B6">
                    <w:rPr>
                      <w:rFonts w:ascii="Calibri Light" w:hAnsi="Calibri Light" w:cs="Times New Roman"/>
                      <w:color w:val="000000"/>
                      <w:szCs w:val="24"/>
                    </w:rPr>
                    <w:t>0.685</w:t>
                  </w:r>
                </w:p>
              </w:tc>
            </w:tr>
            <w:tr w:rsidR="004E6102" w:rsidRPr="00220833" w14:paraId="7839AD2A" w14:textId="77777777" w:rsidTr="00623987">
              <w:trPr>
                <w:trHeight w:val="315"/>
                <w:jc w:val="center"/>
              </w:trPr>
              <w:tc>
                <w:tcPr>
                  <w:tcW w:w="0" w:type="auto"/>
                  <w:shd w:val="clear" w:color="auto" w:fill="auto"/>
                  <w:noWrap/>
                  <w:vAlign w:val="center"/>
                  <w:hideMark/>
                </w:tcPr>
                <w:p w14:paraId="6E9F5E14" w14:textId="77777777" w:rsidR="004E6102" w:rsidRPr="007D72B6" w:rsidRDefault="004E6102" w:rsidP="004E6102">
                  <w:pPr>
                    <w:rPr>
                      <w:rFonts w:ascii="Calibri Light" w:hAnsi="Calibri Light" w:cs="Times New Roman"/>
                      <w:color w:val="000000"/>
                      <w:szCs w:val="24"/>
                    </w:rPr>
                  </w:pPr>
                  <w:r w:rsidRPr="007D72B6">
                    <w:rPr>
                      <w:rFonts w:ascii="Calibri Light" w:hAnsi="Calibri Light" w:cs="Times New Roman"/>
                      <w:color w:val="000000"/>
                      <w:szCs w:val="24"/>
                    </w:rPr>
                    <w:t>Protective Clothing Reserve</w:t>
                  </w:r>
                </w:p>
              </w:tc>
              <w:tc>
                <w:tcPr>
                  <w:tcW w:w="0" w:type="auto"/>
                  <w:vAlign w:val="center"/>
                </w:tcPr>
                <w:p w14:paraId="72E91881" w14:textId="74298DB5" w:rsidR="004E6102" w:rsidRPr="007D72B6" w:rsidRDefault="001638CE" w:rsidP="00994D21">
                  <w:pPr>
                    <w:ind w:right="70"/>
                    <w:jc w:val="right"/>
                    <w:rPr>
                      <w:rFonts w:ascii="Calibri Light" w:hAnsi="Calibri Light" w:cs="Times New Roman"/>
                      <w:color w:val="000000"/>
                      <w:szCs w:val="24"/>
                    </w:rPr>
                  </w:pPr>
                  <w:r>
                    <w:rPr>
                      <w:rFonts w:ascii="Calibri Light" w:hAnsi="Calibri Light" w:cs="Times New Roman"/>
                      <w:color w:val="000000"/>
                      <w:szCs w:val="24"/>
                    </w:rPr>
                    <w:t>0.786</w:t>
                  </w:r>
                </w:p>
              </w:tc>
              <w:tc>
                <w:tcPr>
                  <w:tcW w:w="0" w:type="auto"/>
                  <w:vAlign w:val="center"/>
                </w:tcPr>
                <w:p w14:paraId="735E002D" w14:textId="6EB2B571" w:rsidR="004E6102"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0.719</w:t>
                  </w:r>
                </w:p>
              </w:tc>
            </w:tr>
            <w:tr w:rsidR="004E6102" w:rsidRPr="00220833" w14:paraId="4313274C" w14:textId="77777777" w:rsidTr="00623987">
              <w:trPr>
                <w:trHeight w:val="315"/>
                <w:jc w:val="center"/>
              </w:trPr>
              <w:tc>
                <w:tcPr>
                  <w:tcW w:w="0" w:type="auto"/>
                  <w:shd w:val="clear" w:color="auto" w:fill="auto"/>
                  <w:noWrap/>
                  <w:vAlign w:val="center"/>
                </w:tcPr>
                <w:p w14:paraId="57B516F9" w14:textId="77777777" w:rsidR="004E6102" w:rsidRPr="007D72B6" w:rsidRDefault="004E6102" w:rsidP="004E6102">
                  <w:pPr>
                    <w:rPr>
                      <w:rFonts w:ascii="Calibri Light" w:hAnsi="Calibri Light" w:cs="Times New Roman"/>
                      <w:color w:val="000000"/>
                      <w:szCs w:val="24"/>
                    </w:rPr>
                  </w:pPr>
                  <w:r w:rsidRPr="007D72B6">
                    <w:rPr>
                      <w:rFonts w:ascii="Calibri Light" w:hAnsi="Calibri Light" w:cs="Times New Roman"/>
                      <w:color w:val="000000"/>
                      <w:szCs w:val="24"/>
                    </w:rPr>
                    <w:t>Vehicle Workshop Reserve</w:t>
                  </w:r>
                </w:p>
              </w:tc>
              <w:tc>
                <w:tcPr>
                  <w:tcW w:w="0" w:type="auto"/>
                  <w:vAlign w:val="center"/>
                </w:tcPr>
                <w:p w14:paraId="593F2BE4" w14:textId="6E8B498B" w:rsidR="004E6102" w:rsidRPr="007D72B6" w:rsidRDefault="00D73509"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0.008</w:t>
                  </w:r>
                </w:p>
              </w:tc>
              <w:tc>
                <w:tcPr>
                  <w:tcW w:w="0" w:type="auto"/>
                  <w:vAlign w:val="center"/>
                </w:tcPr>
                <w:p w14:paraId="6783B712" w14:textId="79BB86C9" w:rsidR="004E6102" w:rsidRPr="007D72B6" w:rsidRDefault="00D73509" w:rsidP="005207C0">
                  <w:pPr>
                    <w:ind w:right="57"/>
                    <w:jc w:val="right"/>
                    <w:rPr>
                      <w:rFonts w:ascii="Calibri Light" w:hAnsi="Calibri Light" w:cs="Times New Roman"/>
                      <w:color w:val="000000"/>
                      <w:szCs w:val="24"/>
                    </w:rPr>
                  </w:pPr>
                  <w:r w:rsidRPr="007D72B6">
                    <w:rPr>
                      <w:rFonts w:ascii="Calibri Light" w:hAnsi="Calibri Light" w:cs="Times New Roman"/>
                      <w:color w:val="000000"/>
                      <w:szCs w:val="24"/>
                    </w:rPr>
                    <w:t>0.008</w:t>
                  </w:r>
                </w:p>
              </w:tc>
            </w:tr>
            <w:tr w:rsidR="004E6102" w:rsidRPr="00220833" w14:paraId="12CD550B" w14:textId="77777777" w:rsidTr="00623987">
              <w:trPr>
                <w:trHeight w:val="315"/>
                <w:jc w:val="center"/>
              </w:trPr>
              <w:tc>
                <w:tcPr>
                  <w:tcW w:w="0" w:type="auto"/>
                  <w:shd w:val="clear" w:color="auto" w:fill="auto"/>
                  <w:noWrap/>
                  <w:vAlign w:val="center"/>
                </w:tcPr>
                <w:p w14:paraId="0E841BB2" w14:textId="77777777" w:rsidR="004E6102" w:rsidRPr="007D72B6" w:rsidRDefault="004E6102" w:rsidP="004E6102">
                  <w:pPr>
                    <w:rPr>
                      <w:rFonts w:ascii="Calibri Light" w:hAnsi="Calibri Light" w:cs="Times New Roman"/>
                      <w:color w:val="000000"/>
                      <w:szCs w:val="24"/>
                    </w:rPr>
                  </w:pPr>
                  <w:r w:rsidRPr="007D72B6">
                    <w:rPr>
                      <w:rFonts w:ascii="Calibri Light" w:hAnsi="Calibri Light" w:cs="Times New Roman"/>
                      <w:color w:val="000000"/>
                      <w:szCs w:val="24"/>
                    </w:rPr>
                    <w:t>Operational Policing Reserve</w:t>
                  </w:r>
                </w:p>
              </w:tc>
              <w:tc>
                <w:tcPr>
                  <w:tcW w:w="0" w:type="auto"/>
                  <w:vAlign w:val="center"/>
                </w:tcPr>
                <w:p w14:paraId="7D27264B" w14:textId="77777777" w:rsidR="004E6102" w:rsidRPr="007D72B6" w:rsidRDefault="004E6102"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1.691</w:t>
                  </w:r>
                </w:p>
              </w:tc>
              <w:tc>
                <w:tcPr>
                  <w:tcW w:w="0" w:type="auto"/>
                  <w:vAlign w:val="center"/>
                </w:tcPr>
                <w:p w14:paraId="61F51902" w14:textId="25888BDF" w:rsidR="004E6102" w:rsidRPr="007D72B6" w:rsidRDefault="00D73509" w:rsidP="005207C0">
                  <w:pPr>
                    <w:ind w:right="57"/>
                    <w:jc w:val="right"/>
                    <w:rPr>
                      <w:rFonts w:ascii="Calibri Light" w:hAnsi="Calibri Light" w:cs="Times New Roman"/>
                      <w:color w:val="000000"/>
                      <w:szCs w:val="24"/>
                    </w:rPr>
                  </w:pPr>
                  <w:r w:rsidRPr="007D72B6">
                    <w:rPr>
                      <w:rFonts w:ascii="Calibri Light" w:hAnsi="Calibri Light" w:cs="Times New Roman"/>
                      <w:color w:val="000000"/>
                      <w:szCs w:val="24"/>
                    </w:rPr>
                    <w:t>1.691</w:t>
                  </w:r>
                </w:p>
              </w:tc>
            </w:tr>
            <w:tr w:rsidR="00623987" w:rsidRPr="00220833" w14:paraId="540672B3" w14:textId="77777777" w:rsidTr="00623987">
              <w:trPr>
                <w:trHeight w:val="315"/>
                <w:jc w:val="center"/>
              </w:trPr>
              <w:tc>
                <w:tcPr>
                  <w:tcW w:w="0" w:type="auto"/>
                  <w:shd w:val="clear" w:color="auto" w:fill="auto"/>
                  <w:noWrap/>
                  <w:vAlign w:val="center"/>
                </w:tcPr>
                <w:p w14:paraId="2345A248" w14:textId="1E6A3CCA" w:rsidR="00623987" w:rsidRPr="007D72B6" w:rsidRDefault="00623987" w:rsidP="004E6102">
                  <w:pPr>
                    <w:rPr>
                      <w:rFonts w:ascii="Calibri Light" w:hAnsi="Calibri Light" w:cs="Times New Roman"/>
                      <w:color w:val="000000"/>
                      <w:szCs w:val="24"/>
                    </w:rPr>
                  </w:pPr>
                  <w:r w:rsidRPr="007D72B6">
                    <w:rPr>
                      <w:rFonts w:ascii="Calibri Light" w:hAnsi="Calibri Light" w:cs="Times New Roman"/>
                      <w:color w:val="000000"/>
                      <w:szCs w:val="24"/>
                    </w:rPr>
                    <w:t>National Driver Offender Retraining scheme</w:t>
                  </w:r>
                </w:p>
              </w:tc>
              <w:tc>
                <w:tcPr>
                  <w:tcW w:w="0" w:type="auto"/>
                  <w:vAlign w:val="center"/>
                </w:tcPr>
                <w:p w14:paraId="416F6438" w14:textId="7FF46BA8" w:rsidR="00623987" w:rsidRPr="007D72B6" w:rsidRDefault="00623987" w:rsidP="00994D21">
                  <w:pPr>
                    <w:ind w:right="70"/>
                    <w:jc w:val="right"/>
                    <w:rPr>
                      <w:rFonts w:ascii="Calibri Light" w:hAnsi="Calibri Light" w:cs="Times New Roman"/>
                      <w:color w:val="000000"/>
                      <w:szCs w:val="24"/>
                    </w:rPr>
                  </w:pPr>
                  <w:r>
                    <w:rPr>
                      <w:rFonts w:ascii="Calibri Light" w:hAnsi="Calibri Light" w:cs="Times New Roman"/>
                      <w:color w:val="000000"/>
                      <w:szCs w:val="24"/>
                    </w:rPr>
                    <w:t>0.922</w:t>
                  </w:r>
                </w:p>
              </w:tc>
              <w:tc>
                <w:tcPr>
                  <w:tcW w:w="0" w:type="auto"/>
                  <w:vAlign w:val="center"/>
                </w:tcPr>
                <w:p w14:paraId="69649DCB" w14:textId="29C4103D" w:rsidR="00623987" w:rsidRPr="007D72B6" w:rsidRDefault="00623987" w:rsidP="005207C0">
                  <w:pPr>
                    <w:ind w:right="57"/>
                    <w:jc w:val="right"/>
                    <w:rPr>
                      <w:rFonts w:ascii="Calibri Light" w:hAnsi="Calibri Light" w:cs="Times New Roman"/>
                      <w:color w:val="000000"/>
                      <w:szCs w:val="24"/>
                    </w:rPr>
                  </w:pPr>
                  <w:r>
                    <w:rPr>
                      <w:rFonts w:ascii="Calibri Light" w:hAnsi="Calibri Light" w:cs="Times New Roman"/>
                      <w:color w:val="000000"/>
                      <w:szCs w:val="24"/>
                    </w:rPr>
                    <w:t>0.847</w:t>
                  </w:r>
                </w:p>
              </w:tc>
            </w:tr>
            <w:tr w:rsidR="007379F7" w:rsidRPr="00220833" w14:paraId="353821AB" w14:textId="77777777" w:rsidTr="00623987">
              <w:trPr>
                <w:trHeight w:val="315"/>
                <w:jc w:val="center"/>
              </w:trPr>
              <w:tc>
                <w:tcPr>
                  <w:tcW w:w="0" w:type="auto"/>
                  <w:shd w:val="clear" w:color="auto" w:fill="auto"/>
                  <w:noWrap/>
                  <w:vAlign w:val="center"/>
                </w:tcPr>
                <w:p w14:paraId="008344D8" w14:textId="7F6D7A13" w:rsidR="007379F7" w:rsidRPr="007D72B6" w:rsidRDefault="007379F7" w:rsidP="007379F7">
                  <w:pPr>
                    <w:rPr>
                      <w:rFonts w:ascii="Calibri Light" w:hAnsi="Calibri Light" w:cs="Times New Roman"/>
                      <w:color w:val="000000"/>
                      <w:szCs w:val="24"/>
                    </w:rPr>
                  </w:pPr>
                  <w:r w:rsidRPr="007D72B6">
                    <w:rPr>
                      <w:rFonts w:ascii="Calibri Light" w:hAnsi="Calibri Light" w:cs="Times New Roman"/>
                      <w:color w:val="000000"/>
                      <w:szCs w:val="24"/>
                    </w:rPr>
                    <w:t>Speed enforcement reserve</w:t>
                  </w:r>
                </w:p>
              </w:tc>
              <w:tc>
                <w:tcPr>
                  <w:tcW w:w="0" w:type="auto"/>
                  <w:vAlign w:val="center"/>
                </w:tcPr>
                <w:p w14:paraId="46F4D36E" w14:textId="5D8BE0B4" w:rsidR="007379F7" w:rsidRPr="007D72B6" w:rsidRDefault="007379F7" w:rsidP="00994D21">
                  <w:pPr>
                    <w:ind w:right="70"/>
                    <w:jc w:val="right"/>
                    <w:rPr>
                      <w:rFonts w:ascii="Calibri Light" w:hAnsi="Calibri Light" w:cs="Times New Roman"/>
                      <w:color w:val="000000"/>
                      <w:szCs w:val="24"/>
                    </w:rPr>
                  </w:pPr>
                  <w:r w:rsidRPr="007D72B6">
                    <w:rPr>
                      <w:rFonts w:ascii="Calibri Light" w:hAnsi="Calibri Light" w:cs="Times New Roman"/>
                      <w:color w:val="000000"/>
                      <w:szCs w:val="24"/>
                    </w:rPr>
                    <w:t>1.</w:t>
                  </w:r>
                  <w:r w:rsidR="001638CE">
                    <w:rPr>
                      <w:rFonts w:ascii="Calibri Light" w:hAnsi="Calibri Light" w:cs="Times New Roman"/>
                      <w:color w:val="000000"/>
                      <w:szCs w:val="24"/>
                    </w:rPr>
                    <w:t>548</w:t>
                  </w:r>
                </w:p>
              </w:tc>
              <w:tc>
                <w:tcPr>
                  <w:tcW w:w="0" w:type="auto"/>
                  <w:vAlign w:val="center"/>
                </w:tcPr>
                <w:p w14:paraId="39600F4F" w14:textId="497AD57D" w:rsidR="007379F7"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1.496</w:t>
                  </w:r>
                </w:p>
              </w:tc>
            </w:tr>
            <w:tr w:rsidR="001638CE" w:rsidRPr="00220833" w14:paraId="612603C9" w14:textId="77777777" w:rsidTr="00623987">
              <w:trPr>
                <w:trHeight w:val="315"/>
                <w:jc w:val="center"/>
              </w:trPr>
              <w:tc>
                <w:tcPr>
                  <w:tcW w:w="0" w:type="auto"/>
                  <w:shd w:val="clear" w:color="auto" w:fill="auto"/>
                  <w:noWrap/>
                  <w:vAlign w:val="center"/>
                </w:tcPr>
                <w:p w14:paraId="1EE96513" w14:textId="45725EB3" w:rsidR="001638CE" w:rsidRPr="007D72B6" w:rsidRDefault="001638CE" w:rsidP="007379F7">
                  <w:pPr>
                    <w:rPr>
                      <w:rFonts w:ascii="Calibri Light" w:hAnsi="Calibri Light" w:cs="Times New Roman"/>
                      <w:color w:val="000000"/>
                      <w:szCs w:val="24"/>
                    </w:rPr>
                  </w:pPr>
                  <w:r>
                    <w:rPr>
                      <w:rFonts w:ascii="Calibri Light" w:hAnsi="Calibri Light" w:cs="Times New Roman"/>
                      <w:color w:val="000000"/>
                      <w:szCs w:val="24"/>
                    </w:rPr>
                    <w:t>Regional collaborations reserve</w:t>
                  </w:r>
                </w:p>
              </w:tc>
              <w:tc>
                <w:tcPr>
                  <w:tcW w:w="0" w:type="auto"/>
                  <w:vAlign w:val="center"/>
                </w:tcPr>
                <w:p w14:paraId="7AD74BFC" w14:textId="54913E2A" w:rsidR="001638CE" w:rsidRPr="007D72B6" w:rsidRDefault="001638CE" w:rsidP="00994D21">
                  <w:pPr>
                    <w:ind w:right="70"/>
                    <w:jc w:val="right"/>
                    <w:rPr>
                      <w:rFonts w:ascii="Calibri Light" w:hAnsi="Calibri Light" w:cs="Times New Roman"/>
                      <w:color w:val="000000"/>
                      <w:szCs w:val="24"/>
                    </w:rPr>
                  </w:pPr>
                  <w:r>
                    <w:rPr>
                      <w:rFonts w:ascii="Calibri Light" w:hAnsi="Calibri Light" w:cs="Times New Roman"/>
                      <w:color w:val="000000"/>
                      <w:szCs w:val="24"/>
                    </w:rPr>
                    <w:t>0.160</w:t>
                  </w:r>
                </w:p>
              </w:tc>
              <w:tc>
                <w:tcPr>
                  <w:tcW w:w="0" w:type="auto"/>
                  <w:vAlign w:val="center"/>
                </w:tcPr>
                <w:p w14:paraId="308B0AB1" w14:textId="3588778A" w:rsidR="001638CE"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0.160</w:t>
                  </w:r>
                </w:p>
              </w:tc>
            </w:tr>
            <w:tr w:rsidR="007379F7" w:rsidRPr="00220833" w14:paraId="779E7B9F" w14:textId="77777777" w:rsidTr="00623987">
              <w:trPr>
                <w:trHeight w:val="315"/>
                <w:jc w:val="center"/>
              </w:trPr>
              <w:tc>
                <w:tcPr>
                  <w:tcW w:w="0" w:type="auto"/>
                  <w:shd w:val="clear" w:color="auto" w:fill="auto"/>
                  <w:noWrap/>
                  <w:vAlign w:val="center"/>
                </w:tcPr>
                <w:p w14:paraId="18E73F89" w14:textId="4A4F7AF7" w:rsidR="007379F7" w:rsidRPr="007D72B6" w:rsidRDefault="007379F7" w:rsidP="007379F7">
                  <w:pPr>
                    <w:rPr>
                      <w:rFonts w:ascii="Calibri Light" w:hAnsi="Calibri Light" w:cs="Times New Roman"/>
                      <w:color w:val="000000"/>
                      <w:szCs w:val="24"/>
                    </w:rPr>
                  </w:pPr>
                  <w:r w:rsidRPr="007D72B6">
                    <w:rPr>
                      <w:rFonts w:ascii="Calibri Light" w:hAnsi="Calibri Light" w:cs="Times New Roman"/>
                      <w:color w:val="000000"/>
                      <w:szCs w:val="24"/>
                    </w:rPr>
                    <w:t>Proceeds of crime act reserve</w:t>
                  </w:r>
                </w:p>
              </w:tc>
              <w:tc>
                <w:tcPr>
                  <w:tcW w:w="0" w:type="auto"/>
                  <w:vAlign w:val="center"/>
                </w:tcPr>
                <w:p w14:paraId="7A7D36D2" w14:textId="72867122" w:rsidR="007379F7" w:rsidRPr="007D72B6" w:rsidRDefault="001638CE" w:rsidP="00994D21">
                  <w:pPr>
                    <w:ind w:right="70"/>
                    <w:jc w:val="right"/>
                    <w:rPr>
                      <w:rFonts w:ascii="Calibri Light" w:hAnsi="Calibri Light" w:cs="Times New Roman"/>
                      <w:color w:val="000000"/>
                      <w:szCs w:val="24"/>
                    </w:rPr>
                  </w:pPr>
                  <w:r>
                    <w:rPr>
                      <w:rFonts w:ascii="Calibri Light" w:hAnsi="Calibri Light" w:cs="Times New Roman"/>
                      <w:color w:val="000000"/>
                      <w:szCs w:val="24"/>
                    </w:rPr>
                    <w:t>1.091</w:t>
                  </w:r>
                </w:p>
              </w:tc>
              <w:tc>
                <w:tcPr>
                  <w:tcW w:w="0" w:type="auto"/>
                  <w:vAlign w:val="center"/>
                </w:tcPr>
                <w:p w14:paraId="30ACFE24" w14:textId="177ACD72" w:rsidR="007379F7" w:rsidRPr="007D72B6" w:rsidRDefault="001638CE" w:rsidP="005207C0">
                  <w:pPr>
                    <w:ind w:right="57"/>
                    <w:jc w:val="right"/>
                    <w:rPr>
                      <w:rFonts w:ascii="Calibri Light" w:hAnsi="Calibri Light" w:cs="Times New Roman"/>
                      <w:color w:val="000000"/>
                      <w:szCs w:val="24"/>
                    </w:rPr>
                  </w:pPr>
                  <w:r>
                    <w:rPr>
                      <w:rFonts w:ascii="Calibri Light" w:hAnsi="Calibri Light" w:cs="Times New Roman"/>
                      <w:color w:val="000000"/>
                      <w:szCs w:val="24"/>
                    </w:rPr>
                    <w:t>1.153</w:t>
                  </w:r>
                </w:p>
              </w:tc>
            </w:tr>
            <w:tr w:rsidR="007379F7" w:rsidRPr="00220833" w14:paraId="00D2C2A3" w14:textId="77777777" w:rsidTr="00623987">
              <w:trPr>
                <w:trHeight w:val="363"/>
                <w:jc w:val="center"/>
              </w:trPr>
              <w:tc>
                <w:tcPr>
                  <w:tcW w:w="0" w:type="auto"/>
                  <w:shd w:val="clear" w:color="auto" w:fill="auto"/>
                  <w:noWrap/>
                  <w:vAlign w:val="center"/>
                  <w:hideMark/>
                </w:tcPr>
                <w:p w14:paraId="0D76D1CC" w14:textId="77777777" w:rsidR="007379F7" w:rsidRPr="007D72B6" w:rsidRDefault="007379F7" w:rsidP="007379F7">
                  <w:pPr>
                    <w:rPr>
                      <w:rFonts w:ascii="Calibri Light" w:hAnsi="Calibri Light" w:cs="Times New Roman"/>
                      <w:b/>
                      <w:color w:val="000000"/>
                      <w:szCs w:val="24"/>
                    </w:rPr>
                  </w:pPr>
                  <w:r w:rsidRPr="007D72B6">
                    <w:rPr>
                      <w:rFonts w:ascii="Calibri Light" w:hAnsi="Calibri Light" w:cs="Times New Roman"/>
                      <w:b/>
                      <w:color w:val="000000"/>
                      <w:szCs w:val="24"/>
                    </w:rPr>
                    <w:lastRenderedPageBreak/>
                    <w:t>Total Earmarked Reserves</w:t>
                  </w:r>
                </w:p>
              </w:tc>
              <w:tc>
                <w:tcPr>
                  <w:tcW w:w="0" w:type="auto"/>
                  <w:vAlign w:val="center"/>
                </w:tcPr>
                <w:p w14:paraId="225B36B5" w14:textId="2CBD7960" w:rsidR="007379F7" w:rsidRPr="007D72B6" w:rsidRDefault="001638CE" w:rsidP="00994D21">
                  <w:pPr>
                    <w:ind w:right="70"/>
                    <w:jc w:val="right"/>
                    <w:rPr>
                      <w:rFonts w:ascii="Calibri Light" w:hAnsi="Calibri Light" w:cs="Times New Roman"/>
                      <w:b/>
                      <w:color w:val="000000"/>
                      <w:szCs w:val="24"/>
                    </w:rPr>
                  </w:pPr>
                  <w:r>
                    <w:rPr>
                      <w:rFonts w:ascii="Calibri Light" w:hAnsi="Calibri Light" w:cs="Times New Roman"/>
                      <w:b/>
                      <w:color w:val="000000"/>
                      <w:szCs w:val="24"/>
                    </w:rPr>
                    <w:fldChar w:fldCharType="begin"/>
                  </w:r>
                  <w:r>
                    <w:rPr>
                      <w:rFonts w:ascii="Calibri Light" w:hAnsi="Calibri Light" w:cs="Times New Roman"/>
                      <w:b/>
                      <w:color w:val="000000"/>
                      <w:szCs w:val="24"/>
                    </w:rPr>
                    <w:instrText xml:space="preserve"> =SUM(ABOVE) </w:instrText>
                  </w:r>
                  <w:r>
                    <w:rPr>
                      <w:rFonts w:ascii="Calibri Light" w:hAnsi="Calibri Light" w:cs="Times New Roman"/>
                      <w:b/>
                      <w:color w:val="000000"/>
                      <w:szCs w:val="24"/>
                    </w:rPr>
                    <w:fldChar w:fldCharType="separate"/>
                  </w:r>
                  <w:r>
                    <w:rPr>
                      <w:rFonts w:ascii="Calibri Light" w:hAnsi="Calibri Light" w:cs="Times New Roman"/>
                      <w:b/>
                      <w:noProof/>
                      <w:color w:val="000000"/>
                      <w:szCs w:val="24"/>
                    </w:rPr>
                    <w:t>11.561</w:t>
                  </w:r>
                  <w:r>
                    <w:rPr>
                      <w:rFonts w:ascii="Calibri Light" w:hAnsi="Calibri Light" w:cs="Times New Roman"/>
                      <w:b/>
                      <w:color w:val="000000"/>
                      <w:szCs w:val="24"/>
                    </w:rPr>
                    <w:fldChar w:fldCharType="end"/>
                  </w:r>
                </w:p>
              </w:tc>
              <w:tc>
                <w:tcPr>
                  <w:tcW w:w="0" w:type="auto"/>
                  <w:vAlign w:val="center"/>
                </w:tcPr>
                <w:p w14:paraId="204E8F0E" w14:textId="5B8FD174" w:rsidR="007379F7" w:rsidRPr="007D72B6" w:rsidRDefault="001638CE" w:rsidP="005207C0">
                  <w:pPr>
                    <w:ind w:right="57"/>
                    <w:jc w:val="right"/>
                    <w:rPr>
                      <w:rFonts w:ascii="Calibri Light" w:hAnsi="Calibri Light" w:cs="Times New Roman"/>
                      <w:b/>
                      <w:color w:val="000000"/>
                      <w:szCs w:val="24"/>
                    </w:rPr>
                  </w:pPr>
                  <w:r>
                    <w:rPr>
                      <w:rFonts w:ascii="Calibri Light" w:hAnsi="Calibri Light" w:cs="Times New Roman"/>
                      <w:b/>
                      <w:color w:val="000000"/>
                      <w:szCs w:val="24"/>
                    </w:rPr>
                    <w:fldChar w:fldCharType="begin"/>
                  </w:r>
                  <w:r>
                    <w:rPr>
                      <w:rFonts w:ascii="Calibri Light" w:hAnsi="Calibri Light" w:cs="Times New Roman"/>
                      <w:b/>
                      <w:color w:val="000000"/>
                      <w:szCs w:val="24"/>
                    </w:rPr>
                    <w:instrText xml:space="preserve"> =SUM(ABOVE) </w:instrText>
                  </w:r>
                  <w:r>
                    <w:rPr>
                      <w:rFonts w:ascii="Calibri Light" w:hAnsi="Calibri Light" w:cs="Times New Roman"/>
                      <w:b/>
                      <w:color w:val="000000"/>
                      <w:szCs w:val="24"/>
                    </w:rPr>
                    <w:fldChar w:fldCharType="separate"/>
                  </w:r>
                  <w:r>
                    <w:rPr>
                      <w:rFonts w:ascii="Calibri Light" w:hAnsi="Calibri Light" w:cs="Times New Roman"/>
                      <w:b/>
                      <w:noProof/>
                      <w:color w:val="000000"/>
                      <w:szCs w:val="24"/>
                    </w:rPr>
                    <w:t>11.508</w:t>
                  </w:r>
                  <w:r>
                    <w:rPr>
                      <w:rFonts w:ascii="Calibri Light" w:hAnsi="Calibri Light" w:cs="Times New Roman"/>
                      <w:b/>
                      <w:color w:val="000000"/>
                      <w:szCs w:val="24"/>
                    </w:rPr>
                    <w:fldChar w:fldCharType="end"/>
                  </w:r>
                </w:p>
              </w:tc>
            </w:tr>
            <w:tr w:rsidR="007379F7" w:rsidRPr="00220833" w14:paraId="62F15DA6" w14:textId="77777777" w:rsidTr="00623987">
              <w:trPr>
                <w:trHeight w:val="165"/>
                <w:jc w:val="center"/>
              </w:trPr>
              <w:tc>
                <w:tcPr>
                  <w:tcW w:w="0" w:type="auto"/>
                  <w:shd w:val="clear" w:color="auto" w:fill="auto"/>
                  <w:noWrap/>
                  <w:vAlign w:val="center"/>
                  <w:hideMark/>
                </w:tcPr>
                <w:p w14:paraId="3081A3AF" w14:textId="77777777" w:rsidR="007379F7" w:rsidRPr="007D72B6" w:rsidRDefault="007379F7" w:rsidP="007379F7">
                  <w:pPr>
                    <w:rPr>
                      <w:rFonts w:ascii="Calibri Light" w:hAnsi="Calibri Light" w:cs="Times New Roman"/>
                      <w:color w:val="000000"/>
                      <w:szCs w:val="24"/>
                    </w:rPr>
                  </w:pPr>
                </w:p>
              </w:tc>
              <w:tc>
                <w:tcPr>
                  <w:tcW w:w="0" w:type="auto"/>
                  <w:vAlign w:val="center"/>
                </w:tcPr>
                <w:p w14:paraId="78713A74" w14:textId="77777777" w:rsidR="007379F7" w:rsidRPr="007D72B6" w:rsidRDefault="007379F7" w:rsidP="00994D21">
                  <w:pPr>
                    <w:ind w:right="70"/>
                    <w:jc w:val="right"/>
                    <w:rPr>
                      <w:rFonts w:ascii="Calibri Light" w:hAnsi="Calibri Light" w:cs="Times New Roman"/>
                      <w:color w:val="000000"/>
                      <w:szCs w:val="24"/>
                    </w:rPr>
                  </w:pPr>
                </w:p>
              </w:tc>
              <w:tc>
                <w:tcPr>
                  <w:tcW w:w="0" w:type="auto"/>
                  <w:vAlign w:val="center"/>
                </w:tcPr>
                <w:p w14:paraId="2ADC5D3B" w14:textId="77777777" w:rsidR="007379F7" w:rsidRPr="007D72B6" w:rsidRDefault="007379F7" w:rsidP="005207C0">
                  <w:pPr>
                    <w:ind w:right="57"/>
                    <w:jc w:val="right"/>
                    <w:rPr>
                      <w:rFonts w:ascii="Calibri Light" w:hAnsi="Calibri Light" w:cs="Times New Roman"/>
                      <w:color w:val="000000"/>
                      <w:szCs w:val="24"/>
                    </w:rPr>
                  </w:pPr>
                </w:p>
              </w:tc>
            </w:tr>
            <w:tr w:rsidR="007379F7" w:rsidRPr="00970F0E" w14:paraId="2769ECE4" w14:textId="77777777" w:rsidTr="00623987">
              <w:trPr>
                <w:trHeight w:val="330"/>
                <w:jc w:val="center"/>
              </w:trPr>
              <w:tc>
                <w:tcPr>
                  <w:tcW w:w="0" w:type="auto"/>
                  <w:shd w:val="clear" w:color="auto" w:fill="auto"/>
                  <w:noWrap/>
                  <w:vAlign w:val="center"/>
                  <w:hideMark/>
                </w:tcPr>
                <w:p w14:paraId="60A29281" w14:textId="77777777" w:rsidR="007379F7" w:rsidRPr="007D72B6" w:rsidRDefault="007379F7" w:rsidP="007379F7">
                  <w:pPr>
                    <w:rPr>
                      <w:rFonts w:ascii="Calibri Light" w:hAnsi="Calibri Light" w:cs="Times New Roman"/>
                      <w:b/>
                      <w:color w:val="000000"/>
                      <w:szCs w:val="24"/>
                    </w:rPr>
                  </w:pPr>
                  <w:r w:rsidRPr="007D72B6">
                    <w:rPr>
                      <w:rFonts w:ascii="Calibri Light" w:hAnsi="Calibri Light" w:cs="Times New Roman"/>
                      <w:b/>
                      <w:color w:val="000000"/>
                      <w:szCs w:val="24"/>
                    </w:rPr>
                    <w:t>General Reserves</w:t>
                  </w:r>
                </w:p>
              </w:tc>
              <w:tc>
                <w:tcPr>
                  <w:tcW w:w="0" w:type="auto"/>
                  <w:vAlign w:val="center"/>
                </w:tcPr>
                <w:p w14:paraId="57DB399A" w14:textId="0E8529B7" w:rsidR="007379F7" w:rsidRPr="007D72B6" w:rsidRDefault="007379F7" w:rsidP="00994D21">
                  <w:pPr>
                    <w:ind w:right="70"/>
                    <w:jc w:val="right"/>
                    <w:rPr>
                      <w:rFonts w:ascii="Calibri Light" w:hAnsi="Calibri Light" w:cs="Times New Roman"/>
                      <w:b/>
                      <w:color w:val="000000"/>
                      <w:szCs w:val="24"/>
                    </w:rPr>
                  </w:pPr>
                  <w:r w:rsidRPr="007D72B6">
                    <w:rPr>
                      <w:rFonts w:ascii="Calibri Light" w:hAnsi="Calibri Light" w:cs="Times New Roman"/>
                      <w:b/>
                      <w:color w:val="000000"/>
                      <w:szCs w:val="24"/>
                    </w:rPr>
                    <w:t>1</w:t>
                  </w:r>
                  <w:r w:rsidR="001638CE">
                    <w:rPr>
                      <w:rFonts w:ascii="Calibri Light" w:hAnsi="Calibri Light" w:cs="Times New Roman"/>
                      <w:b/>
                      <w:color w:val="000000"/>
                      <w:szCs w:val="24"/>
                    </w:rPr>
                    <w:t>8.649</w:t>
                  </w:r>
                </w:p>
              </w:tc>
              <w:tc>
                <w:tcPr>
                  <w:tcW w:w="0" w:type="auto"/>
                  <w:vAlign w:val="center"/>
                </w:tcPr>
                <w:p w14:paraId="103DA184" w14:textId="151587D1" w:rsidR="007379F7" w:rsidRPr="007D72B6" w:rsidRDefault="001638CE" w:rsidP="005207C0">
                  <w:pPr>
                    <w:ind w:right="57"/>
                    <w:jc w:val="right"/>
                    <w:rPr>
                      <w:rFonts w:ascii="Calibri Light" w:hAnsi="Calibri Light" w:cs="Times New Roman"/>
                      <w:b/>
                      <w:color w:val="000000"/>
                      <w:szCs w:val="24"/>
                    </w:rPr>
                  </w:pPr>
                  <w:r>
                    <w:rPr>
                      <w:rFonts w:ascii="Calibri Light" w:hAnsi="Calibri Light" w:cs="Times New Roman"/>
                      <w:b/>
                      <w:color w:val="000000"/>
                      <w:szCs w:val="24"/>
                    </w:rPr>
                    <w:t>17.710</w:t>
                  </w:r>
                </w:p>
              </w:tc>
            </w:tr>
          </w:tbl>
          <w:p w14:paraId="25B1B98D" w14:textId="77777777" w:rsidR="004E6102" w:rsidRPr="00970F0E" w:rsidRDefault="004E6102" w:rsidP="004E6102">
            <w:pPr>
              <w:autoSpaceDE w:val="0"/>
              <w:autoSpaceDN w:val="0"/>
              <w:adjustRightInd w:val="0"/>
              <w:spacing w:after="120"/>
              <w:rPr>
                <w:rFonts w:ascii="Calibri Light" w:eastAsia="Calibri" w:hAnsi="Calibri Light"/>
                <w:bCs/>
                <w:color w:val="000000"/>
                <w:szCs w:val="24"/>
                <w:lang w:eastAsia="en-US"/>
              </w:rPr>
            </w:pPr>
          </w:p>
          <w:p w14:paraId="2E281E15" w14:textId="192F47F9"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w:t>
            </w:r>
            <w:r w:rsidRPr="00970F0E">
              <w:rPr>
                <w:rFonts w:ascii="Calibri Light" w:eastAsia="Calibri" w:hAnsi="Calibri Light"/>
                <w:b/>
                <w:bCs/>
                <w:color w:val="000000"/>
                <w:szCs w:val="24"/>
                <w:lang w:eastAsia="en-US"/>
              </w:rPr>
              <w:t xml:space="preserve">Transition Reserve </w:t>
            </w:r>
            <w:r>
              <w:rPr>
                <w:rFonts w:ascii="Calibri Light" w:eastAsia="Calibri" w:hAnsi="Calibri Light"/>
                <w:bCs/>
                <w:color w:val="000000"/>
                <w:szCs w:val="24"/>
                <w:lang w:eastAsia="en-US"/>
              </w:rPr>
              <w:t>is</w:t>
            </w:r>
            <w:r w:rsidRPr="00970F0E">
              <w:rPr>
                <w:rFonts w:ascii="Calibri Light" w:eastAsia="Calibri" w:hAnsi="Calibri Light"/>
                <w:bCs/>
                <w:color w:val="000000"/>
                <w:szCs w:val="24"/>
                <w:lang w:eastAsia="en-US"/>
              </w:rPr>
              <w:t xml:space="preserve"> held to manage the transformation of the Constabulary and to support the Commissioner's capital programme through 'one-off' investments. These reserves </w:t>
            </w:r>
            <w:r w:rsidR="000F2C76">
              <w:rPr>
                <w:rFonts w:ascii="Calibri Light" w:eastAsia="Calibri" w:hAnsi="Calibri Light"/>
                <w:bCs/>
                <w:color w:val="000000"/>
                <w:szCs w:val="24"/>
                <w:lang w:eastAsia="en-US"/>
              </w:rPr>
              <w:t>were</w:t>
            </w:r>
            <w:r w:rsidRPr="00970F0E">
              <w:rPr>
                <w:rFonts w:ascii="Calibri Light" w:eastAsia="Calibri" w:hAnsi="Calibri Light"/>
                <w:bCs/>
                <w:color w:val="000000"/>
                <w:szCs w:val="24"/>
                <w:lang w:eastAsia="en-US"/>
              </w:rPr>
              <w:t xml:space="preserve"> created through the early realisation of planned efficiency savings with a strategy to create reserves to enable investment that will continue to deliver programmes that provide further improvements in efficiency and productivity for the organisation. </w:t>
            </w:r>
            <w:r>
              <w:rPr>
                <w:rFonts w:ascii="Calibri Light" w:eastAsia="Calibri" w:hAnsi="Calibri Light"/>
                <w:bCs/>
                <w:color w:val="000000"/>
                <w:szCs w:val="24"/>
                <w:lang w:eastAsia="en-US"/>
              </w:rPr>
              <w:t>It is anticipated the transition reserve will be used in full during 202</w:t>
            </w:r>
            <w:r w:rsidR="005A3B67">
              <w:rPr>
                <w:rFonts w:ascii="Calibri Light" w:eastAsia="Calibri" w:hAnsi="Calibri Light"/>
                <w:bCs/>
                <w:color w:val="000000"/>
                <w:szCs w:val="24"/>
                <w:lang w:eastAsia="en-US"/>
              </w:rPr>
              <w:t>4/25</w:t>
            </w:r>
            <w:r>
              <w:rPr>
                <w:rFonts w:ascii="Calibri Light" w:eastAsia="Calibri" w:hAnsi="Calibri Light"/>
                <w:bCs/>
                <w:color w:val="000000"/>
                <w:szCs w:val="24"/>
                <w:lang w:eastAsia="en-US"/>
              </w:rPr>
              <w:t>, however the PCC continues to examine any opportunity to increase this reserve during the year if they should arise.</w:t>
            </w:r>
          </w:p>
          <w:p w14:paraId="3759AAD3" w14:textId="77777777" w:rsidR="002D6023" w:rsidRPr="00970F0E" w:rsidRDefault="002D6023" w:rsidP="002D6023">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w:t>
            </w:r>
            <w:r w:rsidRPr="002D6023">
              <w:rPr>
                <w:rFonts w:ascii="Calibri Light" w:eastAsia="Calibri" w:hAnsi="Calibri Light"/>
                <w:b/>
                <w:color w:val="000000"/>
                <w:szCs w:val="24"/>
                <w:lang w:eastAsia="en-US"/>
              </w:rPr>
              <w:t>Forensic Partnership Reserve</w:t>
            </w:r>
            <w:r w:rsidRPr="00970F0E">
              <w:rPr>
                <w:rFonts w:ascii="Calibri Light" w:eastAsia="Calibri" w:hAnsi="Calibri Light"/>
                <w:bCs/>
                <w:color w:val="000000"/>
                <w:szCs w:val="24"/>
                <w:lang w:eastAsia="en-US"/>
              </w:rPr>
              <w:t xml:space="preserve"> is held for investment in the delivery of the Forensics Partnership with UCLAN (University of Central Lancashire).</w:t>
            </w:r>
          </w:p>
          <w:p w14:paraId="768016BC" w14:textId="2AF522A2" w:rsidR="002D6023" w:rsidRDefault="002D6023"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Pr>
                <w:rFonts w:ascii="Calibri Light" w:eastAsia="Calibri" w:hAnsi="Calibri Light"/>
                <w:bCs/>
                <w:color w:val="000000"/>
                <w:szCs w:val="24"/>
                <w:lang w:eastAsia="en-US"/>
              </w:rPr>
              <w:t xml:space="preserve">The </w:t>
            </w:r>
            <w:r w:rsidRPr="002D6023">
              <w:rPr>
                <w:rFonts w:ascii="Calibri Light" w:eastAsia="Calibri" w:hAnsi="Calibri Light"/>
                <w:b/>
                <w:color w:val="000000"/>
                <w:szCs w:val="24"/>
                <w:lang w:eastAsia="en-US"/>
              </w:rPr>
              <w:t>Capital Financing reserve</w:t>
            </w:r>
            <w:r>
              <w:rPr>
                <w:rFonts w:ascii="Calibri Light" w:eastAsia="Calibri" w:hAnsi="Calibri Light"/>
                <w:bCs/>
                <w:color w:val="000000"/>
                <w:szCs w:val="24"/>
                <w:lang w:eastAsia="en-US"/>
              </w:rPr>
              <w:t xml:space="preserve"> is set aside to support the cost of financing the capital investment programme</w:t>
            </w:r>
          </w:p>
          <w:p w14:paraId="193E6FE7" w14:textId="11AED811" w:rsidR="002D6023" w:rsidRDefault="002D6023"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2D6023">
              <w:rPr>
                <w:rFonts w:ascii="Calibri Light" w:eastAsia="Calibri" w:hAnsi="Calibri Light"/>
                <w:b/>
                <w:color w:val="000000"/>
                <w:szCs w:val="24"/>
                <w:lang w:eastAsia="en-US"/>
              </w:rPr>
              <w:t>Employee and Public liability reserves</w:t>
            </w:r>
            <w:r>
              <w:rPr>
                <w:rFonts w:ascii="Calibri Light" w:eastAsia="Calibri" w:hAnsi="Calibri Light"/>
                <w:bCs/>
                <w:color w:val="000000"/>
                <w:szCs w:val="24"/>
                <w:lang w:eastAsia="en-US"/>
              </w:rPr>
              <w:t xml:space="preserve"> are held to meet costs relating to insurance claims that are not met directly by the insurance cover in place for the PCC and Chief Constable</w:t>
            </w:r>
          </w:p>
          <w:p w14:paraId="7BA3C92E" w14:textId="521D35F7" w:rsidR="002D6023" w:rsidRPr="002D6023" w:rsidRDefault="002D6023" w:rsidP="002D6023">
            <w:pPr>
              <w:numPr>
                <w:ilvl w:val="1"/>
                <w:numId w:val="44"/>
              </w:numPr>
              <w:autoSpaceDE w:val="0"/>
              <w:autoSpaceDN w:val="0"/>
              <w:adjustRightInd w:val="0"/>
              <w:spacing w:after="120" w:line="259" w:lineRule="auto"/>
              <w:ind w:left="454"/>
              <w:rPr>
                <w:rFonts w:ascii="Calibri Light" w:eastAsia="Calibri" w:hAnsi="Calibri Light"/>
                <w:bCs/>
                <w:color w:val="000000"/>
                <w:szCs w:val="24"/>
                <w:lang w:eastAsia="en-US"/>
              </w:rPr>
            </w:pPr>
            <w:r w:rsidRPr="00970F0E">
              <w:rPr>
                <w:rFonts w:ascii="Calibri Light" w:eastAsia="Calibri" w:hAnsi="Calibri Light" w:cs="Times New Roman"/>
                <w:bCs/>
                <w:szCs w:val="24"/>
                <w:lang w:eastAsia="en-US"/>
              </w:rPr>
              <w:t>T</w:t>
            </w:r>
            <w:r w:rsidRPr="00970F0E">
              <w:rPr>
                <w:rFonts w:ascii="Calibri Light" w:eastAsia="Calibri" w:hAnsi="Calibri Light"/>
                <w:bCs/>
                <w:color w:val="000000"/>
                <w:szCs w:val="24"/>
                <w:lang w:eastAsia="en-US"/>
              </w:rPr>
              <w:t xml:space="preserve">he </w:t>
            </w:r>
            <w:r w:rsidRPr="00970F0E">
              <w:rPr>
                <w:rFonts w:ascii="Calibri Light" w:eastAsia="Calibri" w:hAnsi="Calibri Light"/>
                <w:b/>
                <w:bCs/>
                <w:color w:val="000000"/>
                <w:szCs w:val="24"/>
                <w:lang w:eastAsia="en-US"/>
              </w:rPr>
              <w:t>Protective Clothing Reserve</w:t>
            </w:r>
            <w:r w:rsidRPr="00970F0E">
              <w:rPr>
                <w:rFonts w:ascii="Calibri Light" w:eastAsia="Calibri" w:hAnsi="Calibri Light"/>
                <w:bCs/>
                <w:color w:val="000000"/>
                <w:szCs w:val="24"/>
                <w:lang w:eastAsia="en-US"/>
              </w:rPr>
              <w:t xml:space="preserve"> is set aside for specialist protective clothing for officers.</w:t>
            </w:r>
          </w:p>
          <w:p w14:paraId="08C27E4B" w14:textId="77777777" w:rsidR="002D6023" w:rsidRPr="00970F0E" w:rsidRDefault="002D6023" w:rsidP="002D6023">
            <w:pPr>
              <w:numPr>
                <w:ilvl w:val="1"/>
                <w:numId w:val="44"/>
              </w:numPr>
              <w:autoSpaceDE w:val="0"/>
              <w:autoSpaceDN w:val="0"/>
              <w:adjustRightInd w:val="0"/>
              <w:spacing w:after="120" w:line="259" w:lineRule="auto"/>
              <w:ind w:left="454"/>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w:t>
            </w:r>
            <w:r w:rsidRPr="00970F0E">
              <w:rPr>
                <w:rFonts w:ascii="Calibri Light" w:eastAsia="Calibri" w:hAnsi="Calibri Light"/>
                <w:b/>
                <w:bCs/>
                <w:color w:val="000000"/>
                <w:szCs w:val="24"/>
                <w:lang w:eastAsia="en-US"/>
              </w:rPr>
              <w:t>Vehicle Workshop reserve</w:t>
            </w:r>
            <w:r w:rsidRPr="00970F0E">
              <w:rPr>
                <w:rFonts w:ascii="Calibri Light" w:eastAsia="Calibri" w:hAnsi="Calibri Light"/>
                <w:bCs/>
                <w:color w:val="000000"/>
                <w:szCs w:val="24"/>
                <w:lang w:eastAsia="en-US"/>
              </w:rPr>
              <w:t xml:space="preserve"> is held for investment in the Vehicle Maintenance Unit (VMU) workshop specialist equipment.</w:t>
            </w:r>
          </w:p>
          <w:p w14:paraId="08CAD3AE"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w:t>
            </w:r>
            <w:r w:rsidRPr="00970F0E">
              <w:rPr>
                <w:rFonts w:ascii="Calibri Light" w:eastAsia="Calibri" w:hAnsi="Calibri Light"/>
                <w:b/>
                <w:bCs/>
                <w:color w:val="000000"/>
                <w:szCs w:val="24"/>
                <w:lang w:eastAsia="en-US"/>
              </w:rPr>
              <w:t>Operational Policing reserve</w:t>
            </w:r>
            <w:r w:rsidRPr="00970F0E">
              <w:rPr>
                <w:rFonts w:ascii="Calibri Light" w:eastAsia="Calibri" w:hAnsi="Calibri Light"/>
                <w:bCs/>
                <w:color w:val="000000"/>
                <w:szCs w:val="24"/>
                <w:lang w:eastAsia="en-US"/>
              </w:rPr>
              <w:t xml:space="preserve"> is held to meet unexpected and significant demand placed upon the force in any discrete financial year. Such demand might qualify for 'Special Grant' provided by the Home Office, however the rules for special grant require the force to meet the costs of such incidents up to an amount equivalent to 1% of their net revenue budget and then make a claim for any additional costs above this amount.</w:t>
            </w:r>
          </w:p>
          <w:p w14:paraId="29A894BD"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
                <w:bCs/>
                <w:color w:val="000000"/>
                <w:szCs w:val="24"/>
                <w:lang w:eastAsia="en-US"/>
              </w:rPr>
              <w:t>Police and Crime Act (POCA) reserves</w:t>
            </w:r>
            <w:r w:rsidRPr="00970F0E">
              <w:rPr>
                <w:rFonts w:ascii="Calibri Light" w:eastAsia="Calibri" w:hAnsi="Calibri Light"/>
                <w:bCs/>
                <w:color w:val="000000"/>
                <w:szCs w:val="24"/>
                <w:lang w:eastAsia="en-US"/>
              </w:rPr>
              <w:t xml:space="preserve"> are held for investment in Crime reduction schemes within the Communities of Lancashire and are created through the seizure of cash and assets on the conviction of criminals.</w:t>
            </w:r>
          </w:p>
          <w:p w14:paraId="5E1F1FE3" w14:textId="002A6CE8" w:rsidR="002D6023" w:rsidRDefault="001638CE"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1638CE">
              <w:rPr>
                <w:rFonts w:ascii="Calibri Light" w:eastAsia="Calibri" w:hAnsi="Calibri Light"/>
                <w:color w:val="000000"/>
                <w:szCs w:val="24"/>
                <w:lang w:eastAsia="en-US"/>
              </w:rPr>
              <w:t>The</w:t>
            </w:r>
            <w:r>
              <w:rPr>
                <w:rFonts w:ascii="Calibri Light" w:eastAsia="Calibri" w:hAnsi="Calibri Light"/>
                <w:b/>
                <w:bCs/>
                <w:color w:val="000000"/>
                <w:szCs w:val="24"/>
                <w:lang w:eastAsia="en-US"/>
              </w:rPr>
              <w:t xml:space="preserve"> National Driver Offender Retraining Scheme (NDORS)</w:t>
            </w:r>
            <w:r w:rsidR="004E6102" w:rsidRPr="00970F0E">
              <w:rPr>
                <w:rFonts w:ascii="Calibri Light" w:eastAsia="Calibri" w:hAnsi="Calibri Light"/>
                <w:b/>
                <w:bCs/>
                <w:color w:val="000000"/>
                <w:szCs w:val="24"/>
                <w:lang w:eastAsia="en-US"/>
              </w:rPr>
              <w:t xml:space="preserve"> Reserve</w:t>
            </w:r>
            <w:r>
              <w:rPr>
                <w:rFonts w:ascii="Calibri Light" w:eastAsia="Calibri" w:hAnsi="Calibri Light"/>
                <w:b/>
                <w:bCs/>
                <w:color w:val="000000"/>
                <w:szCs w:val="24"/>
                <w:lang w:eastAsia="en-US"/>
              </w:rPr>
              <w:t xml:space="preserve"> and the Speed Enforcement reserve</w:t>
            </w:r>
            <w:r w:rsidR="004E6102" w:rsidRPr="00970F0E">
              <w:rPr>
                <w:rFonts w:ascii="Calibri Light" w:eastAsia="Calibri" w:hAnsi="Calibri Light"/>
                <w:bCs/>
                <w:color w:val="000000"/>
                <w:szCs w:val="24"/>
                <w:lang w:eastAsia="en-US"/>
              </w:rPr>
              <w:t xml:space="preserve"> </w:t>
            </w:r>
            <w:r>
              <w:rPr>
                <w:rFonts w:ascii="Calibri Light" w:eastAsia="Calibri" w:hAnsi="Calibri Light"/>
                <w:bCs/>
                <w:color w:val="000000"/>
                <w:szCs w:val="24"/>
                <w:lang w:eastAsia="en-US"/>
              </w:rPr>
              <w:t>are held to support investment for roads policing</w:t>
            </w:r>
            <w:r w:rsidR="004E6102" w:rsidRPr="00970F0E">
              <w:rPr>
                <w:rFonts w:ascii="Calibri Light" w:eastAsia="Calibri" w:hAnsi="Calibri Light"/>
                <w:bCs/>
                <w:color w:val="000000"/>
                <w:szCs w:val="24"/>
                <w:lang w:eastAsia="en-US"/>
              </w:rPr>
              <w:t>.</w:t>
            </w:r>
            <w:r w:rsidR="004E6102">
              <w:rPr>
                <w:rFonts w:ascii="Calibri Light" w:eastAsia="Calibri" w:hAnsi="Calibri Light"/>
                <w:bCs/>
                <w:color w:val="000000"/>
                <w:szCs w:val="24"/>
                <w:lang w:eastAsia="en-US"/>
              </w:rPr>
              <w:t xml:space="preserve"> </w:t>
            </w:r>
          </w:p>
          <w:p w14:paraId="435EF140" w14:textId="293E8272"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6F3BF4">
              <w:rPr>
                <w:rFonts w:ascii="Calibri Light" w:eastAsia="Calibri" w:hAnsi="Calibri Light"/>
                <w:b/>
                <w:bCs/>
                <w:color w:val="000000"/>
                <w:szCs w:val="24"/>
                <w:lang w:eastAsia="en-US"/>
              </w:rPr>
              <w:t>Regional Collaboration reserve</w:t>
            </w:r>
            <w:r>
              <w:rPr>
                <w:rFonts w:ascii="Calibri Light" w:eastAsia="Calibri" w:hAnsi="Calibri Light"/>
                <w:bCs/>
                <w:color w:val="000000"/>
                <w:szCs w:val="24"/>
                <w:lang w:eastAsia="en-US"/>
              </w:rPr>
              <w:t xml:space="preserve"> is held in respect of the regional serious and organised crime team.</w:t>
            </w:r>
          </w:p>
          <w:p w14:paraId="2C59EEE1"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current </w:t>
            </w:r>
            <w:r w:rsidRPr="00970F0E">
              <w:rPr>
                <w:rFonts w:ascii="Calibri Light" w:eastAsia="Calibri" w:hAnsi="Calibri Light"/>
                <w:b/>
                <w:bCs/>
                <w:color w:val="000000"/>
                <w:szCs w:val="24"/>
                <w:lang w:eastAsia="en-US"/>
              </w:rPr>
              <w:t>forecast application of these specific reserves</w:t>
            </w:r>
            <w:r w:rsidRPr="00970F0E">
              <w:rPr>
                <w:rFonts w:ascii="Calibri Light" w:eastAsia="Calibri" w:hAnsi="Calibri Light"/>
                <w:bCs/>
                <w:color w:val="000000"/>
                <w:szCs w:val="24"/>
                <w:lang w:eastAsia="en-US"/>
              </w:rPr>
              <w:t xml:space="preserve"> in future years is set out in the table below:</w:t>
            </w:r>
          </w:p>
          <w:tbl>
            <w:tblPr>
              <w:tblW w:w="0" w:type="auto"/>
              <w:jc w:val="center"/>
              <w:tblCellMar>
                <w:left w:w="0" w:type="dxa"/>
                <w:right w:w="0" w:type="dxa"/>
              </w:tblCellMar>
              <w:tblLook w:val="04A0" w:firstRow="1" w:lastRow="0" w:firstColumn="1" w:lastColumn="0" w:noHBand="0" w:noVBand="1"/>
            </w:tblPr>
            <w:tblGrid>
              <w:gridCol w:w="4225"/>
              <w:gridCol w:w="811"/>
              <w:gridCol w:w="574"/>
              <w:gridCol w:w="574"/>
              <w:gridCol w:w="574"/>
              <w:gridCol w:w="675"/>
              <w:gridCol w:w="574"/>
              <w:gridCol w:w="954"/>
            </w:tblGrid>
            <w:tr w:rsidR="0085514D" w:rsidRPr="00970F0E" w14:paraId="5B8E2923" w14:textId="77777777" w:rsidTr="0085514D">
              <w:trPr>
                <w:trHeight w:val="315"/>
                <w:jc w:val="center"/>
              </w:trPr>
              <w:tc>
                <w:tcPr>
                  <w:tcW w:w="0" w:type="auto"/>
                  <w:tcBorders>
                    <w:top w:val="nil"/>
                    <w:left w:val="nil"/>
                    <w:bottom w:val="nil"/>
                    <w:right w:val="nil"/>
                  </w:tcBorders>
                  <w:shd w:val="clear" w:color="auto" w:fill="auto"/>
                  <w:noWrap/>
                  <w:vAlign w:val="center"/>
                </w:tcPr>
                <w:p w14:paraId="112E0449" w14:textId="77777777" w:rsidR="0085514D" w:rsidRPr="007D72B6" w:rsidRDefault="0085514D" w:rsidP="004E6102">
                  <w:pPr>
                    <w:rPr>
                      <w:rFonts w:ascii="Calibri Light" w:hAnsi="Calibri Light" w:cs="Times New Roman"/>
                      <w:b/>
                      <w:color w:val="000000"/>
                      <w:sz w:val="20"/>
                      <w:szCs w:val="20"/>
                      <w:u w:val="single"/>
                    </w:rPr>
                  </w:pPr>
                </w:p>
              </w:tc>
              <w:tc>
                <w:tcPr>
                  <w:tcW w:w="0" w:type="auto"/>
                  <w:tcBorders>
                    <w:top w:val="nil"/>
                    <w:left w:val="nil"/>
                    <w:bottom w:val="nil"/>
                    <w:right w:val="nil"/>
                  </w:tcBorders>
                  <w:shd w:val="clear" w:color="auto" w:fill="auto"/>
                  <w:noWrap/>
                  <w:vAlign w:val="center"/>
                </w:tcPr>
                <w:p w14:paraId="2D671021" w14:textId="77777777" w:rsidR="0085514D" w:rsidRPr="007D72B6" w:rsidRDefault="0085514D" w:rsidP="004E6102">
                  <w:pPr>
                    <w:jc w:val="center"/>
                    <w:rPr>
                      <w:rFonts w:ascii="Calibri Light" w:hAnsi="Calibri Light" w:cs="Times New Roman"/>
                      <w:b/>
                      <w:color w:val="000000"/>
                      <w:sz w:val="20"/>
                      <w:szCs w:val="20"/>
                    </w:rPr>
                  </w:pPr>
                </w:p>
              </w:tc>
              <w:tc>
                <w:tcPr>
                  <w:tcW w:w="0" w:type="auto"/>
                  <w:gridSpan w:val="5"/>
                  <w:tcBorders>
                    <w:top w:val="nil"/>
                    <w:left w:val="nil"/>
                    <w:bottom w:val="nil"/>
                    <w:right w:val="nil"/>
                  </w:tcBorders>
                  <w:vAlign w:val="bottom"/>
                </w:tcPr>
                <w:p w14:paraId="3FDD3892" w14:textId="0D877491" w:rsidR="0085514D" w:rsidRPr="007D72B6" w:rsidRDefault="0085514D" w:rsidP="0085514D">
                  <w:pPr>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Forecast application of reserves</w:t>
                  </w:r>
                </w:p>
              </w:tc>
              <w:tc>
                <w:tcPr>
                  <w:tcW w:w="954" w:type="dxa"/>
                  <w:tcBorders>
                    <w:top w:val="nil"/>
                    <w:left w:val="nil"/>
                    <w:bottom w:val="nil"/>
                    <w:right w:val="nil"/>
                  </w:tcBorders>
                  <w:vAlign w:val="center"/>
                </w:tcPr>
                <w:p w14:paraId="24D0064B" w14:textId="77777777" w:rsidR="0085514D" w:rsidRPr="007D72B6" w:rsidRDefault="0085514D" w:rsidP="004E6102">
                  <w:pPr>
                    <w:jc w:val="center"/>
                    <w:rPr>
                      <w:rFonts w:ascii="Calibri Light" w:hAnsi="Calibri Light" w:cs="Times New Roman"/>
                      <w:b/>
                      <w:color w:val="000000"/>
                      <w:sz w:val="20"/>
                      <w:szCs w:val="20"/>
                    </w:rPr>
                  </w:pPr>
                </w:p>
              </w:tc>
            </w:tr>
            <w:tr w:rsidR="001638CE" w:rsidRPr="00970F0E" w14:paraId="580DE1D4" w14:textId="77777777" w:rsidTr="0085514D">
              <w:trPr>
                <w:trHeight w:val="315"/>
                <w:jc w:val="center"/>
              </w:trPr>
              <w:tc>
                <w:tcPr>
                  <w:tcW w:w="0" w:type="auto"/>
                  <w:tcBorders>
                    <w:top w:val="nil"/>
                    <w:left w:val="nil"/>
                    <w:bottom w:val="nil"/>
                    <w:right w:val="nil"/>
                  </w:tcBorders>
                  <w:shd w:val="clear" w:color="auto" w:fill="auto"/>
                  <w:noWrap/>
                  <w:vAlign w:val="center"/>
                  <w:hideMark/>
                </w:tcPr>
                <w:p w14:paraId="77CCFEE6" w14:textId="77777777" w:rsidR="001638CE" w:rsidRPr="0085514D" w:rsidRDefault="001638CE" w:rsidP="001638CE">
                  <w:pPr>
                    <w:rPr>
                      <w:rFonts w:ascii="Calibri Light" w:hAnsi="Calibri Light" w:cs="Times New Roman"/>
                      <w:b/>
                      <w:color w:val="000000"/>
                      <w:szCs w:val="24"/>
                    </w:rPr>
                  </w:pPr>
                  <w:r w:rsidRPr="0085514D">
                    <w:rPr>
                      <w:rFonts w:ascii="Calibri Light" w:hAnsi="Calibri Light" w:cs="Times New Roman"/>
                      <w:b/>
                      <w:color w:val="000000"/>
                      <w:szCs w:val="24"/>
                      <w:u w:val="single"/>
                    </w:rPr>
                    <w:t>EARMARKED RESERVES</w:t>
                  </w:r>
                </w:p>
              </w:tc>
              <w:tc>
                <w:tcPr>
                  <w:tcW w:w="0" w:type="auto"/>
                  <w:tcBorders>
                    <w:top w:val="nil"/>
                    <w:left w:val="nil"/>
                    <w:bottom w:val="nil"/>
                    <w:right w:val="nil"/>
                  </w:tcBorders>
                  <w:shd w:val="clear" w:color="auto" w:fill="auto"/>
                  <w:noWrap/>
                  <w:vAlign w:val="center"/>
                  <w:hideMark/>
                </w:tcPr>
                <w:p w14:paraId="39AE42F1" w14:textId="77777777" w:rsidR="001638CE" w:rsidRPr="007D72B6" w:rsidRDefault="001638CE" w:rsidP="001638CE">
                  <w:pPr>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Position</w:t>
                  </w:r>
                </w:p>
                <w:p w14:paraId="0E5BBFEF" w14:textId="5995881A" w:rsidR="001638CE" w:rsidRPr="007D72B6" w:rsidRDefault="001638CE" w:rsidP="001638CE">
                  <w:pPr>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31/</w:t>
                  </w:r>
                  <w:r>
                    <w:rPr>
                      <w:rFonts w:ascii="Calibri Light" w:hAnsi="Calibri Light" w:cs="Times New Roman"/>
                      <w:b/>
                      <w:color w:val="000000"/>
                      <w:sz w:val="20"/>
                      <w:szCs w:val="20"/>
                    </w:rPr>
                    <w:t>12</w:t>
                  </w:r>
                  <w:r w:rsidRPr="007D72B6">
                    <w:rPr>
                      <w:rFonts w:ascii="Calibri Light" w:hAnsi="Calibri Light" w:cs="Times New Roman"/>
                      <w:b/>
                      <w:color w:val="000000"/>
                      <w:sz w:val="20"/>
                      <w:szCs w:val="20"/>
                    </w:rPr>
                    <w:t>/2</w:t>
                  </w:r>
                  <w:r>
                    <w:rPr>
                      <w:rFonts w:ascii="Calibri Light" w:hAnsi="Calibri Light" w:cs="Times New Roman"/>
                      <w:b/>
                      <w:color w:val="000000"/>
                      <w:sz w:val="20"/>
                      <w:szCs w:val="20"/>
                    </w:rPr>
                    <w:t>4</w:t>
                  </w:r>
                </w:p>
              </w:tc>
              <w:tc>
                <w:tcPr>
                  <w:tcW w:w="0" w:type="auto"/>
                  <w:tcBorders>
                    <w:top w:val="nil"/>
                    <w:left w:val="nil"/>
                    <w:bottom w:val="nil"/>
                    <w:right w:val="nil"/>
                  </w:tcBorders>
                  <w:vAlign w:val="center"/>
                </w:tcPr>
                <w:p w14:paraId="70DEE965" w14:textId="4B339ADC" w:rsidR="001638CE" w:rsidRPr="007D72B6" w:rsidRDefault="001638CE" w:rsidP="001638CE">
                  <w:pPr>
                    <w:ind w:right="57"/>
                    <w:jc w:val="center"/>
                    <w:rPr>
                      <w:rFonts w:ascii="Calibri Light" w:hAnsi="Calibri Light" w:cs="Times New Roman"/>
                      <w:b/>
                      <w:color w:val="000000"/>
                      <w:sz w:val="20"/>
                      <w:szCs w:val="20"/>
                    </w:rPr>
                  </w:pPr>
                  <w:r>
                    <w:rPr>
                      <w:rFonts w:ascii="Calibri Light" w:hAnsi="Calibri Light" w:cs="Times New Roman"/>
                      <w:b/>
                      <w:color w:val="000000"/>
                      <w:sz w:val="20"/>
                      <w:szCs w:val="20"/>
                    </w:rPr>
                    <w:t>24/25</w:t>
                  </w:r>
                </w:p>
              </w:tc>
              <w:tc>
                <w:tcPr>
                  <w:tcW w:w="0" w:type="auto"/>
                  <w:tcBorders>
                    <w:top w:val="nil"/>
                    <w:left w:val="nil"/>
                    <w:bottom w:val="nil"/>
                    <w:right w:val="nil"/>
                  </w:tcBorders>
                  <w:vAlign w:val="center"/>
                </w:tcPr>
                <w:p w14:paraId="32ACC306" w14:textId="54F36004" w:rsidR="001638CE" w:rsidRPr="007D72B6" w:rsidRDefault="001638CE" w:rsidP="001638CE">
                  <w:pPr>
                    <w:ind w:right="57"/>
                    <w:jc w:val="center"/>
                    <w:rPr>
                      <w:rFonts w:ascii="Calibri Light" w:hAnsi="Calibri Light" w:cs="Times New Roman"/>
                      <w:b/>
                      <w:color w:val="000000"/>
                      <w:sz w:val="20"/>
                      <w:szCs w:val="20"/>
                    </w:rPr>
                  </w:pPr>
                  <w:r>
                    <w:rPr>
                      <w:rFonts w:ascii="Calibri Light" w:hAnsi="Calibri Light" w:cs="Times New Roman"/>
                      <w:b/>
                      <w:color w:val="000000"/>
                      <w:sz w:val="20"/>
                      <w:szCs w:val="20"/>
                    </w:rPr>
                    <w:t>25/26</w:t>
                  </w:r>
                </w:p>
              </w:tc>
              <w:tc>
                <w:tcPr>
                  <w:tcW w:w="0" w:type="auto"/>
                  <w:tcBorders>
                    <w:top w:val="nil"/>
                    <w:left w:val="nil"/>
                    <w:bottom w:val="nil"/>
                    <w:right w:val="nil"/>
                  </w:tcBorders>
                  <w:vAlign w:val="center"/>
                </w:tcPr>
                <w:p w14:paraId="28C2966C" w14:textId="6FF78AEC" w:rsidR="001638CE" w:rsidRPr="007D72B6" w:rsidRDefault="001638CE" w:rsidP="001638CE">
                  <w:pPr>
                    <w:ind w:right="57"/>
                    <w:jc w:val="center"/>
                    <w:rPr>
                      <w:rFonts w:ascii="Calibri Light" w:hAnsi="Calibri Light" w:cs="Times New Roman"/>
                      <w:b/>
                      <w:color w:val="000000"/>
                      <w:sz w:val="20"/>
                      <w:szCs w:val="20"/>
                    </w:rPr>
                  </w:pPr>
                  <w:r>
                    <w:rPr>
                      <w:rFonts w:ascii="Calibri Light" w:hAnsi="Calibri Light" w:cs="Times New Roman"/>
                      <w:b/>
                      <w:color w:val="000000"/>
                      <w:sz w:val="20"/>
                      <w:szCs w:val="20"/>
                    </w:rPr>
                    <w:t>26/27</w:t>
                  </w:r>
                </w:p>
              </w:tc>
              <w:tc>
                <w:tcPr>
                  <w:tcW w:w="0" w:type="auto"/>
                  <w:tcBorders>
                    <w:top w:val="nil"/>
                    <w:left w:val="nil"/>
                    <w:bottom w:val="nil"/>
                    <w:right w:val="nil"/>
                  </w:tcBorders>
                  <w:vAlign w:val="center"/>
                </w:tcPr>
                <w:p w14:paraId="4C116D86" w14:textId="48FC1573" w:rsidR="001638CE" w:rsidRPr="007D72B6" w:rsidRDefault="001638CE" w:rsidP="001638CE">
                  <w:pPr>
                    <w:ind w:right="57"/>
                    <w:jc w:val="center"/>
                    <w:rPr>
                      <w:rFonts w:ascii="Calibri Light" w:hAnsi="Calibri Light" w:cs="Times New Roman"/>
                      <w:b/>
                      <w:color w:val="000000"/>
                      <w:sz w:val="20"/>
                      <w:szCs w:val="20"/>
                    </w:rPr>
                  </w:pPr>
                  <w:r>
                    <w:rPr>
                      <w:rFonts w:ascii="Calibri Light" w:hAnsi="Calibri Light" w:cs="Times New Roman"/>
                      <w:b/>
                      <w:color w:val="000000"/>
                      <w:sz w:val="20"/>
                      <w:szCs w:val="20"/>
                    </w:rPr>
                    <w:t>27/28</w:t>
                  </w:r>
                </w:p>
              </w:tc>
              <w:tc>
                <w:tcPr>
                  <w:tcW w:w="0" w:type="auto"/>
                  <w:tcBorders>
                    <w:top w:val="nil"/>
                    <w:left w:val="nil"/>
                    <w:bottom w:val="nil"/>
                    <w:right w:val="nil"/>
                  </w:tcBorders>
                  <w:vAlign w:val="center"/>
                </w:tcPr>
                <w:p w14:paraId="53A381AC" w14:textId="00A440C4" w:rsidR="001638CE" w:rsidRPr="007D72B6" w:rsidRDefault="001638CE" w:rsidP="001638CE">
                  <w:pPr>
                    <w:ind w:right="57"/>
                    <w:jc w:val="center"/>
                    <w:rPr>
                      <w:rFonts w:ascii="Calibri Light" w:hAnsi="Calibri Light" w:cs="Times New Roman"/>
                      <w:b/>
                      <w:color w:val="000000"/>
                      <w:sz w:val="20"/>
                      <w:szCs w:val="20"/>
                    </w:rPr>
                  </w:pPr>
                  <w:r>
                    <w:rPr>
                      <w:rFonts w:ascii="Calibri Light" w:hAnsi="Calibri Light" w:cs="Times New Roman"/>
                      <w:b/>
                      <w:color w:val="000000"/>
                      <w:sz w:val="20"/>
                      <w:szCs w:val="20"/>
                    </w:rPr>
                    <w:t>28/29</w:t>
                  </w:r>
                </w:p>
              </w:tc>
              <w:tc>
                <w:tcPr>
                  <w:tcW w:w="954" w:type="dxa"/>
                  <w:tcBorders>
                    <w:top w:val="nil"/>
                    <w:left w:val="nil"/>
                    <w:bottom w:val="nil"/>
                    <w:right w:val="nil"/>
                  </w:tcBorders>
                  <w:vAlign w:val="center"/>
                </w:tcPr>
                <w:p w14:paraId="42B29513" w14:textId="3D266550" w:rsidR="001638CE" w:rsidRPr="007D72B6" w:rsidRDefault="001638CE" w:rsidP="001638CE">
                  <w:pPr>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Forecast position 31/3/2</w:t>
                  </w:r>
                  <w:r>
                    <w:rPr>
                      <w:rFonts w:ascii="Calibri Light" w:hAnsi="Calibri Light" w:cs="Times New Roman"/>
                      <w:b/>
                      <w:color w:val="000000"/>
                      <w:sz w:val="20"/>
                      <w:szCs w:val="20"/>
                    </w:rPr>
                    <w:t>9</w:t>
                  </w:r>
                </w:p>
              </w:tc>
            </w:tr>
            <w:tr w:rsidR="001638CE" w:rsidRPr="00970F0E" w14:paraId="6DABB1D3" w14:textId="77777777" w:rsidTr="0085514D">
              <w:trPr>
                <w:trHeight w:val="141"/>
                <w:jc w:val="center"/>
              </w:trPr>
              <w:tc>
                <w:tcPr>
                  <w:tcW w:w="0" w:type="auto"/>
                  <w:tcBorders>
                    <w:top w:val="nil"/>
                    <w:left w:val="nil"/>
                    <w:bottom w:val="nil"/>
                    <w:right w:val="nil"/>
                  </w:tcBorders>
                  <w:shd w:val="clear" w:color="auto" w:fill="auto"/>
                  <w:noWrap/>
                  <w:vAlign w:val="center"/>
                  <w:hideMark/>
                </w:tcPr>
                <w:p w14:paraId="279D5962" w14:textId="77777777" w:rsidR="001638CE" w:rsidRPr="0085514D" w:rsidRDefault="001638CE" w:rsidP="001638CE">
                  <w:pPr>
                    <w:rPr>
                      <w:rFonts w:ascii="Calibri Light" w:hAnsi="Calibri Light" w:cs="Times New Roman"/>
                      <w:b/>
                      <w:color w:val="000000"/>
                      <w:szCs w:val="24"/>
                    </w:rPr>
                  </w:pPr>
                </w:p>
              </w:tc>
              <w:tc>
                <w:tcPr>
                  <w:tcW w:w="0" w:type="auto"/>
                  <w:tcBorders>
                    <w:top w:val="nil"/>
                    <w:left w:val="nil"/>
                    <w:bottom w:val="nil"/>
                    <w:right w:val="nil"/>
                  </w:tcBorders>
                  <w:shd w:val="clear" w:color="auto" w:fill="auto"/>
                  <w:noWrap/>
                  <w:vAlign w:val="center"/>
                  <w:hideMark/>
                </w:tcPr>
                <w:p w14:paraId="5A7AD67F" w14:textId="77777777" w:rsidR="001638CE" w:rsidRPr="007D72B6" w:rsidRDefault="001638CE" w:rsidP="001638CE">
                  <w:pPr>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£m</w:t>
                  </w:r>
                </w:p>
              </w:tc>
              <w:tc>
                <w:tcPr>
                  <w:tcW w:w="0" w:type="auto"/>
                  <w:tcBorders>
                    <w:top w:val="nil"/>
                    <w:left w:val="nil"/>
                    <w:bottom w:val="nil"/>
                    <w:right w:val="nil"/>
                  </w:tcBorders>
                  <w:vAlign w:val="center"/>
                </w:tcPr>
                <w:p w14:paraId="3583B46F" w14:textId="77777777" w:rsidR="001638CE" w:rsidRPr="007D72B6" w:rsidRDefault="001638CE" w:rsidP="001638CE">
                  <w:pPr>
                    <w:spacing w:line="259" w:lineRule="auto"/>
                    <w:ind w:right="57"/>
                    <w:jc w:val="center"/>
                    <w:rPr>
                      <w:rFonts w:ascii="Calibri Light" w:eastAsia="Calibri" w:hAnsi="Calibri Light" w:cs="Times New Roman"/>
                      <w:sz w:val="20"/>
                      <w:szCs w:val="20"/>
                      <w:lang w:eastAsia="en-US"/>
                    </w:rPr>
                  </w:pPr>
                  <w:r w:rsidRPr="007D72B6">
                    <w:rPr>
                      <w:rFonts w:ascii="Calibri Light" w:hAnsi="Calibri Light" w:cs="Times New Roman"/>
                      <w:b/>
                      <w:color w:val="000000"/>
                      <w:sz w:val="20"/>
                      <w:szCs w:val="20"/>
                    </w:rPr>
                    <w:t>£m</w:t>
                  </w:r>
                </w:p>
              </w:tc>
              <w:tc>
                <w:tcPr>
                  <w:tcW w:w="0" w:type="auto"/>
                  <w:tcBorders>
                    <w:top w:val="nil"/>
                    <w:left w:val="nil"/>
                    <w:bottom w:val="nil"/>
                    <w:right w:val="nil"/>
                  </w:tcBorders>
                  <w:vAlign w:val="center"/>
                </w:tcPr>
                <w:p w14:paraId="18ADC830" w14:textId="77777777" w:rsidR="001638CE" w:rsidRPr="007D72B6" w:rsidRDefault="001638CE" w:rsidP="001638CE">
                  <w:pPr>
                    <w:spacing w:line="259" w:lineRule="auto"/>
                    <w:ind w:right="57"/>
                    <w:jc w:val="center"/>
                    <w:rPr>
                      <w:rFonts w:ascii="Calibri Light" w:eastAsia="Calibri" w:hAnsi="Calibri Light" w:cs="Times New Roman"/>
                      <w:sz w:val="20"/>
                      <w:szCs w:val="20"/>
                      <w:lang w:eastAsia="en-US"/>
                    </w:rPr>
                  </w:pPr>
                  <w:r w:rsidRPr="007D72B6">
                    <w:rPr>
                      <w:rFonts w:ascii="Calibri Light" w:hAnsi="Calibri Light" w:cs="Times New Roman"/>
                      <w:b/>
                      <w:color w:val="000000"/>
                      <w:sz w:val="20"/>
                      <w:szCs w:val="20"/>
                    </w:rPr>
                    <w:t>£m</w:t>
                  </w:r>
                </w:p>
              </w:tc>
              <w:tc>
                <w:tcPr>
                  <w:tcW w:w="0" w:type="auto"/>
                  <w:tcBorders>
                    <w:top w:val="nil"/>
                    <w:left w:val="nil"/>
                    <w:bottom w:val="nil"/>
                    <w:right w:val="nil"/>
                  </w:tcBorders>
                  <w:vAlign w:val="center"/>
                </w:tcPr>
                <w:p w14:paraId="5DE5A650" w14:textId="77777777" w:rsidR="001638CE" w:rsidRPr="007D72B6" w:rsidRDefault="001638CE" w:rsidP="001638CE">
                  <w:pPr>
                    <w:spacing w:line="259" w:lineRule="auto"/>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£m</w:t>
                  </w:r>
                </w:p>
              </w:tc>
              <w:tc>
                <w:tcPr>
                  <w:tcW w:w="0" w:type="auto"/>
                  <w:tcBorders>
                    <w:top w:val="nil"/>
                    <w:left w:val="nil"/>
                    <w:bottom w:val="nil"/>
                    <w:right w:val="nil"/>
                  </w:tcBorders>
                  <w:vAlign w:val="center"/>
                </w:tcPr>
                <w:p w14:paraId="4E2A32D6" w14:textId="77777777" w:rsidR="001638CE" w:rsidRPr="007D72B6" w:rsidRDefault="001638CE" w:rsidP="001638CE">
                  <w:pPr>
                    <w:spacing w:line="259" w:lineRule="auto"/>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£m</w:t>
                  </w:r>
                </w:p>
              </w:tc>
              <w:tc>
                <w:tcPr>
                  <w:tcW w:w="0" w:type="auto"/>
                  <w:tcBorders>
                    <w:top w:val="nil"/>
                    <w:left w:val="nil"/>
                    <w:bottom w:val="nil"/>
                    <w:right w:val="nil"/>
                  </w:tcBorders>
                </w:tcPr>
                <w:p w14:paraId="43ED2B89" w14:textId="77777777" w:rsidR="001638CE" w:rsidRPr="007D72B6" w:rsidRDefault="001638CE" w:rsidP="001638CE">
                  <w:pPr>
                    <w:spacing w:line="259" w:lineRule="auto"/>
                    <w:ind w:right="57"/>
                    <w:jc w:val="center"/>
                    <w:rPr>
                      <w:rFonts w:ascii="Calibri Light" w:hAnsi="Calibri Light" w:cs="Times New Roman"/>
                      <w:b/>
                      <w:color w:val="000000"/>
                      <w:sz w:val="20"/>
                      <w:szCs w:val="20"/>
                    </w:rPr>
                  </w:pPr>
                  <w:r w:rsidRPr="007D72B6">
                    <w:rPr>
                      <w:rFonts w:ascii="Calibri Light" w:hAnsi="Calibri Light" w:cs="Times New Roman"/>
                      <w:b/>
                      <w:color w:val="000000"/>
                      <w:sz w:val="20"/>
                      <w:szCs w:val="20"/>
                    </w:rPr>
                    <w:t>£m</w:t>
                  </w:r>
                </w:p>
              </w:tc>
              <w:tc>
                <w:tcPr>
                  <w:tcW w:w="954" w:type="dxa"/>
                  <w:tcBorders>
                    <w:top w:val="nil"/>
                    <w:left w:val="nil"/>
                    <w:bottom w:val="nil"/>
                    <w:right w:val="nil"/>
                  </w:tcBorders>
                  <w:vAlign w:val="center"/>
                </w:tcPr>
                <w:p w14:paraId="7CAC00E8" w14:textId="77777777" w:rsidR="001638CE" w:rsidRPr="007D72B6" w:rsidRDefault="001638CE" w:rsidP="001638CE">
                  <w:pPr>
                    <w:spacing w:line="259" w:lineRule="auto"/>
                    <w:ind w:right="57"/>
                    <w:jc w:val="center"/>
                    <w:rPr>
                      <w:rFonts w:ascii="Calibri Light" w:eastAsia="Calibri" w:hAnsi="Calibri Light" w:cs="Times New Roman"/>
                      <w:sz w:val="20"/>
                      <w:szCs w:val="20"/>
                      <w:lang w:eastAsia="en-US"/>
                    </w:rPr>
                  </w:pPr>
                  <w:r w:rsidRPr="007D72B6">
                    <w:rPr>
                      <w:rFonts w:ascii="Calibri Light" w:hAnsi="Calibri Light" w:cs="Times New Roman"/>
                      <w:b/>
                      <w:color w:val="000000"/>
                      <w:sz w:val="20"/>
                      <w:szCs w:val="20"/>
                    </w:rPr>
                    <w:t>£m</w:t>
                  </w:r>
                </w:p>
              </w:tc>
            </w:tr>
            <w:tr w:rsidR="001638CE" w:rsidRPr="00970F0E" w14:paraId="380F3B85" w14:textId="77777777" w:rsidTr="0085514D">
              <w:trPr>
                <w:trHeight w:val="315"/>
                <w:jc w:val="center"/>
              </w:trPr>
              <w:tc>
                <w:tcPr>
                  <w:tcW w:w="0" w:type="auto"/>
                  <w:tcBorders>
                    <w:top w:val="nil"/>
                    <w:left w:val="nil"/>
                    <w:bottom w:val="nil"/>
                    <w:right w:val="nil"/>
                  </w:tcBorders>
                  <w:shd w:val="clear" w:color="auto" w:fill="auto"/>
                  <w:noWrap/>
                  <w:vAlign w:val="center"/>
                  <w:hideMark/>
                </w:tcPr>
                <w:p w14:paraId="6ED1DB11" w14:textId="0DD6C690"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Transition Reserve</w:t>
                  </w:r>
                </w:p>
              </w:tc>
              <w:tc>
                <w:tcPr>
                  <w:tcW w:w="0" w:type="auto"/>
                  <w:tcBorders>
                    <w:top w:val="nil"/>
                    <w:left w:val="nil"/>
                    <w:right w:val="nil"/>
                  </w:tcBorders>
                  <w:noWrap/>
                  <w:vAlign w:val="center"/>
                </w:tcPr>
                <w:p w14:paraId="03CE1F47" w14:textId="17B9DA80"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4.283</w:t>
                  </w:r>
                </w:p>
              </w:tc>
              <w:tc>
                <w:tcPr>
                  <w:tcW w:w="0" w:type="auto"/>
                  <w:tcBorders>
                    <w:top w:val="nil"/>
                    <w:left w:val="nil"/>
                    <w:bottom w:val="nil"/>
                    <w:right w:val="nil"/>
                  </w:tcBorders>
                  <w:vAlign w:val="center"/>
                </w:tcPr>
                <w:p w14:paraId="1592A343" w14:textId="37849521"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w:t>
                  </w:r>
                  <w:r>
                    <w:rPr>
                      <w:rFonts w:ascii="Calibri Light" w:hAnsi="Calibri Light" w:cs="Times New Roman"/>
                      <w:color w:val="000000"/>
                      <w:sz w:val="20"/>
                      <w:szCs w:val="20"/>
                    </w:rPr>
                    <w:t>4.283</w:t>
                  </w:r>
                </w:p>
              </w:tc>
              <w:tc>
                <w:tcPr>
                  <w:tcW w:w="0" w:type="auto"/>
                  <w:tcBorders>
                    <w:top w:val="nil"/>
                    <w:left w:val="nil"/>
                    <w:bottom w:val="nil"/>
                    <w:right w:val="nil"/>
                  </w:tcBorders>
                  <w:vAlign w:val="center"/>
                </w:tcPr>
                <w:p w14:paraId="358E0B38"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55140EE"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3934BF48"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379AF84F" w14:textId="77777777"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4F34CFA8" w14:textId="77777777"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p>
              </w:tc>
            </w:tr>
            <w:tr w:rsidR="001638CE" w:rsidRPr="00970F0E" w14:paraId="63D2D7D9" w14:textId="77777777" w:rsidTr="0085514D">
              <w:trPr>
                <w:trHeight w:val="315"/>
                <w:jc w:val="center"/>
              </w:trPr>
              <w:tc>
                <w:tcPr>
                  <w:tcW w:w="0" w:type="auto"/>
                  <w:tcBorders>
                    <w:top w:val="nil"/>
                    <w:left w:val="nil"/>
                    <w:bottom w:val="nil"/>
                    <w:right w:val="nil"/>
                  </w:tcBorders>
                  <w:shd w:val="clear" w:color="auto" w:fill="auto"/>
                  <w:noWrap/>
                  <w:vAlign w:val="center"/>
                </w:tcPr>
                <w:p w14:paraId="03DA26E7" w14:textId="51CC5148"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Forensic Partnership reserve</w:t>
                  </w:r>
                </w:p>
              </w:tc>
              <w:tc>
                <w:tcPr>
                  <w:tcW w:w="0" w:type="auto"/>
                  <w:tcBorders>
                    <w:left w:val="nil"/>
                    <w:bottom w:val="nil"/>
                    <w:right w:val="nil"/>
                  </w:tcBorders>
                  <w:noWrap/>
                  <w:vAlign w:val="center"/>
                </w:tcPr>
                <w:p w14:paraId="631318A6" w14:textId="0BE44727"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328</w:t>
                  </w:r>
                </w:p>
              </w:tc>
              <w:tc>
                <w:tcPr>
                  <w:tcW w:w="0" w:type="auto"/>
                  <w:tcBorders>
                    <w:top w:val="nil"/>
                    <w:left w:val="nil"/>
                    <w:bottom w:val="nil"/>
                    <w:right w:val="nil"/>
                  </w:tcBorders>
                  <w:vAlign w:val="center"/>
                </w:tcPr>
                <w:p w14:paraId="6EA58300" w14:textId="1C175B13"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328</w:t>
                  </w:r>
                </w:p>
              </w:tc>
              <w:tc>
                <w:tcPr>
                  <w:tcW w:w="0" w:type="auto"/>
                  <w:tcBorders>
                    <w:top w:val="nil"/>
                    <w:left w:val="nil"/>
                    <w:bottom w:val="nil"/>
                    <w:right w:val="nil"/>
                  </w:tcBorders>
                  <w:vAlign w:val="center"/>
                </w:tcPr>
                <w:p w14:paraId="5E9F8A03"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97E8E67"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7729BBD0" w14:textId="77777777" w:rsidR="001638CE" w:rsidRPr="007D72B6" w:rsidRDefault="001638CE"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171715D3" w14:textId="77777777"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6BACEB7C" w14:textId="66997FCC"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p>
              </w:tc>
            </w:tr>
            <w:tr w:rsidR="001638CE" w:rsidRPr="00970F0E" w14:paraId="046869F6" w14:textId="77777777" w:rsidTr="0085514D">
              <w:trPr>
                <w:trHeight w:val="315"/>
                <w:jc w:val="center"/>
              </w:trPr>
              <w:tc>
                <w:tcPr>
                  <w:tcW w:w="0" w:type="auto"/>
                  <w:tcBorders>
                    <w:top w:val="nil"/>
                    <w:left w:val="nil"/>
                    <w:bottom w:val="nil"/>
                    <w:right w:val="nil"/>
                  </w:tcBorders>
                  <w:shd w:val="clear" w:color="auto" w:fill="auto"/>
                  <w:noWrap/>
                  <w:vAlign w:val="center"/>
                </w:tcPr>
                <w:p w14:paraId="7E0799FB" w14:textId="21584EF2"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Capital financing reserve</w:t>
                  </w:r>
                </w:p>
              </w:tc>
              <w:tc>
                <w:tcPr>
                  <w:tcW w:w="0" w:type="auto"/>
                  <w:tcBorders>
                    <w:top w:val="nil"/>
                    <w:left w:val="nil"/>
                    <w:bottom w:val="nil"/>
                    <w:right w:val="nil"/>
                  </w:tcBorders>
                  <w:noWrap/>
                  <w:vAlign w:val="center"/>
                </w:tcPr>
                <w:p w14:paraId="04AB24D4" w14:textId="2B9666A8"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13</w:t>
                  </w:r>
                  <w:r w:rsidRPr="007D72B6">
                    <w:rPr>
                      <w:rFonts w:ascii="Calibri Light" w:hAnsi="Calibri Light" w:cs="Times New Roman"/>
                      <w:color w:val="000000"/>
                      <w:sz w:val="20"/>
                      <w:szCs w:val="20"/>
                    </w:rPr>
                    <w:t>8</w:t>
                  </w:r>
                </w:p>
              </w:tc>
              <w:tc>
                <w:tcPr>
                  <w:tcW w:w="0" w:type="auto"/>
                  <w:tcBorders>
                    <w:top w:val="nil"/>
                    <w:left w:val="nil"/>
                    <w:bottom w:val="nil"/>
                    <w:right w:val="nil"/>
                  </w:tcBorders>
                  <w:vAlign w:val="center"/>
                </w:tcPr>
                <w:p w14:paraId="34B08932" w14:textId="2D1C1709"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w:t>
                  </w:r>
                  <w:r w:rsidR="002B5FAF">
                    <w:rPr>
                      <w:rFonts w:ascii="Calibri Light" w:hAnsi="Calibri Light" w:cs="Times New Roman"/>
                      <w:color w:val="000000"/>
                      <w:sz w:val="20"/>
                      <w:szCs w:val="20"/>
                    </w:rPr>
                    <w:t>13</w:t>
                  </w:r>
                  <w:r>
                    <w:rPr>
                      <w:rFonts w:ascii="Calibri Light" w:hAnsi="Calibri Light" w:cs="Times New Roman"/>
                      <w:color w:val="000000"/>
                      <w:sz w:val="20"/>
                      <w:szCs w:val="20"/>
                    </w:rPr>
                    <w:t>8</w:t>
                  </w:r>
                </w:p>
              </w:tc>
              <w:tc>
                <w:tcPr>
                  <w:tcW w:w="0" w:type="auto"/>
                  <w:tcBorders>
                    <w:top w:val="nil"/>
                    <w:left w:val="nil"/>
                    <w:bottom w:val="nil"/>
                    <w:right w:val="nil"/>
                  </w:tcBorders>
                  <w:vAlign w:val="center"/>
                </w:tcPr>
                <w:p w14:paraId="738C1522"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6013AE9D"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6E1EA136" w14:textId="77777777" w:rsidR="001638CE" w:rsidRPr="007D72B6" w:rsidRDefault="001638CE"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81B8F34" w14:textId="77777777"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445177A9" w14:textId="488A3A82"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p>
              </w:tc>
            </w:tr>
            <w:tr w:rsidR="001638CE" w:rsidRPr="00970F0E" w14:paraId="4A87DE5D" w14:textId="77777777" w:rsidTr="0085514D">
              <w:trPr>
                <w:trHeight w:val="315"/>
                <w:jc w:val="center"/>
              </w:trPr>
              <w:tc>
                <w:tcPr>
                  <w:tcW w:w="0" w:type="auto"/>
                  <w:tcBorders>
                    <w:top w:val="nil"/>
                    <w:left w:val="nil"/>
                    <w:bottom w:val="nil"/>
                    <w:right w:val="nil"/>
                  </w:tcBorders>
                  <w:shd w:val="clear" w:color="auto" w:fill="auto"/>
                  <w:noWrap/>
                  <w:vAlign w:val="center"/>
                </w:tcPr>
                <w:p w14:paraId="6E2D5634" w14:textId="18A8637F"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Employee/Public liability reserves</w:t>
                  </w:r>
                </w:p>
              </w:tc>
              <w:tc>
                <w:tcPr>
                  <w:tcW w:w="0" w:type="auto"/>
                  <w:tcBorders>
                    <w:top w:val="nil"/>
                    <w:left w:val="nil"/>
                    <w:bottom w:val="nil"/>
                    <w:right w:val="nil"/>
                  </w:tcBorders>
                  <w:noWrap/>
                  <w:vAlign w:val="center"/>
                </w:tcPr>
                <w:p w14:paraId="5C50E820" w14:textId="3826E6C6"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0.685</w:t>
                  </w:r>
                </w:p>
              </w:tc>
              <w:tc>
                <w:tcPr>
                  <w:tcW w:w="0" w:type="auto"/>
                  <w:tcBorders>
                    <w:top w:val="nil"/>
                    <w:left w:val="nil"/>
                    <w:bottom w:val="nil"/>
                    <w:right w:val="nil"/>
                  </w:tcBorders>
                  <w:vAlign w:val="center"/>
                </w:tcPr>
                <w:p w14:paraId="26E5E85F" w14:textId="5AECB928"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w:t>
                  </w:r>
                </w:p>
              </w:tc>
              <w:tc>
                <w:tcPr>
                  <w:tcW w:w="0" w:type="auto"/>
                  <w:tcBorders>
                    <w:top w:val="nil"/>
                    <w:left w:val="nil"/>
                    <w:bottom w:val="nil"/>
                    <w:right w:val="nil"/>
                  </w:tcBorders>
                  <w:vAlign w:val="center"/>
                </w:tcPr>
                <w:p w14:paraId="5D1048B2" w14:textId="132BB22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54C1B9BE" w14:textId="62C3F8C6"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6FF8923" w14:textId="0F2392D0" w:rsidR="001638CE" w:rsidRPr="007D72B6" w:rsidRDefault="001638CE"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343CD8C2" w14:textId="66DBC186"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1D546A89" w14:textId="714002B9"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Pr>
                      <w:rFonts w:ascii="Calibri Light" w:hAnsi="Calibri Light" w:cs="Times New Roman"/>
                      <w:color w:val="000000"/>
                      <w:sz w:val="20"/>
                      <w:szCs w:val="20"/>
                    </w:rPr>
                    <w:t>.685</w:t>
                  </w:r>
                </w:p>
              </w:tc>
            </w:tr>
            <w:tr w:rsidR="001638CE" w:rsidRPr="00970F0E" w14:paraId="69D5D636" w14:textId="77777777" w:rsidTr="0085514D">
              <w:trPr>
                <w:trHeight w:val="315"/>
                <w:jc w:val="center"/>
              </w:trPr>
              <w:tc>
                <w:tcPr>
                  <w:tcW w:w="0" w:type="auto"/>
                  <w:tcBorders>
                    <w:top w:val="nil"/>
                    <w:left w:val="nil"/>
                    <w:bottom w:val="nil"/>
                    <w:right w:val="nil"/>
                  </w:tcBorders>
                  <w:shd w:val="clear" w:color="auto" w:fill="auto"/>
                  <w:noWrap/>
                  <w:vAlign w:val="center"/>
                  <w:hideMark/>
                </w:tcPr>
                <w:p w14:paraId="0150CC11" w14:textId="30770C77"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lastRenderedPageBreak/>
                    <w:t>Protective Clothing Reserve</w:t>
                  </w:r>
                </w:p>
              </w:tc>
              <w:tc>
                <w:tcPr>
                  <w:tcW w:w="0" w:type="auto"/>
                  <w:tcBorders>
                    <w:top w:val="nil"/>
                    <w:left w:val="nil"/>
                    <w:bottom w:val="nil"/>
                    <w:right w:val="nil"/>
                  </w:tcBorders>
                  <w:noWrap/>
                  <w:vAlign w:val="center"/>
                </w:tcPr>
                <w:p w14:paraId="13B152F6" w14:textId="59763B24"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719</w:t>
                  </w:r>
                </w:p>
              </w:tc>
              <w:tc>
                <w:tcPr>
                  <w:tcW w:w="0" w:type="auto"/>
                  <w:tcBorders>
                    <w:top w:val="nil"/>
                    <w:left w:val="nil"/>
                    <w:bottom w:val="nil"/>
                    <w:right w:val="nil"/>
                  </w:tcBorders>
                  <w:vAlign w:val="center"/>
                </w:tcPr>
                <w:p w14:paraId="14C87659" w14:textId="43A63930"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-0.050</w:t>
                  </w:r>
                </w:p>
              </w:tc>
              <w:tc>
                <w:tcPr>
                  <w:tcW w:w="0" w:type="auto"/>
                  <w:tcBorders>
                    <w:top w:val="nil"/>
                    <w:left w:val="nil"/>
                    <w:bottom w:val="nil"/>
                    <w:right w:val="nil"/>
                  </w:tcBorders>
                  <w:vAlign w:val="center"/>
                </w:tcPr>
                <w:p w14:paraId="6970DE2D" w14:textId="7CB9BB02"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-0.0</w:t>
                  </w:r>
                  <w:r w:rsidR="002B5FAF">
                    <w:rPr>
                      <w:rFonts w:ascii="Calibri Light" w:hAnsi="Calibri Light" w:cs="Times New Roman"/>
                      <w:color w:val="000000"/>
                      <w:sz w:val="20"/>
                      <w:szCs w:val="20"/>
                    </w:rPr>
                    <w:t>50</w:t>
                  </w:r>
                </w:p>
              </w:tc>
              <w:tc>
                <w:tcPr>
                  <w:tcW w:w="0" w:type="auto"/>
                  <w:tcBorders>
                    <w:top w:val="nil"/>
                    <w:left w:val="nil"/>
                    <w:bottom w:val="nil"/>
                    <w:right w:val="nil"/>
                  </w:tcBorders>
                  <w:vAlign w:val="center"/>
                </w:tcPr>
                <w:p w14:paraId="2A08627E" w14:textId="723B6F9E"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-0.050</w:t>
                  </w:r>
                </w:p>
              </w:tc>
              <w:tc>
                <w:tcPr>
                  <w:tcW w:w="0" w:type="auto"/>
                  <w:tcBorders>
                    <w:top w:val="nil"/>
                    <w:left w:val="nil"/>
                    <w:bottom w:val="nil"/>
                    <w:right w:val="nil"/>
                  </w:tcBorders>
                  <w:vAlign w:val="center"/>
                </w:tcPr>
                <w:p w14:paraId="1EB73A6A" w14:textId="46EA63B4" w:rsidR="001638CE" w:rsidRPr="007D72B6" w:rsidRDefault="002B5FAF" w:rsidP="001638CE">
                  <w:pPr>
                    <w:tabs>
                      <w:tab w:val="left" w:pos="472"/>
                    </w:tabs>
                    <w:ind w:right="57"/>
                    <w:jc w:val="right"/>
                    <w:rPr>
                      <w:rFonts w:ascii="Calibri Light" w:hAnsi="Calibri Light" w:cs="Times New Roman"/>
                      <w:color w:val="000000"/>
                      <w:sz w:val="20"/>
                      <w:szCs w:val="20"/>
                    </w:rPr>
                  </w:pPr>
                  <w:r>
                    <w:rPr>
                      <w:rFonts w:ascii="Calibri Light" w:hAnsi="Calibri Light" w:cs="Times New Roman"/>
                      <w:color w:val="000000"/>
                      <w:sz w:val="20"/>
                      <w:szCs w:val="20"/>
                    </w:rPr>
                    <w:t>-0.050</w:t>
                  </w:r>
                </w:p>
              </w:tc>
              <w:tc>
                <w:tcPr>
                  <w:tcW w:w="0" w:type="auto"/>
                  <w:tcBorders>
                    <w:top w:val="nil"/>
                    <w:left w:val="nil"/>
                    <w:bottom w:val="nil"/>
                    <w:right w:val="nil"/>
                  </w:tcBorders>
                  <w:vAlign w:val="center"/>
                </w:tcPr>
                <w:p w14:paraId="7648C8A6" w14:textId="0390D2AE"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-0.050</w:t>
                  </w:r>
                </w:p>
              </w:tc>
              <w:tc>
                <w:tcPr>
                  <w:tcW w:w="954" w:type="dxa"/>
                  <w:tcBorders>
                    <w:top w:val="nil"/>
                    <w:left w:val="nil"/>
                    <w:bottom w:val="nil"/>
                    <w:right w:val="nil"/>
                  </w:tcBorders>
                  <w:vAlign w:val="center"/>
                </w:tcPr>
                <w:p w14:paraId="614687D5" w14:textId="270225ED" w:rsidR="001638CE" w:rsidRPr="007D72B6" w:rsidRDefault="002B5FAF" w:rsidP="001638CE">
                  <w:pPr>
                    <w:ind w:right="170"/>
                    <w:jc w:val="right"/>
                    <w:rPr>
                      <w:rFonts w:ascii="Calibri Light" w:hAnsi="Calibri Light" w:cs="Times New Roman"/>
                      <w:color w:val="000000"/>
                      <w:sz w:val="20"/>
                      <w:szCs w:val="20"/>
                    </w:rPr>
                  </w:pPr>
                  <w:r>
                    <w:rPr>
                      <w:rFonts w:ascii="Calibri Light" w:hAnsi="Calibri Light" w:cs="Times New Roman"/>
                      <w:color w:val="000000"/>
                      <w:sz w:val="20"/>
                      <w:szCs w:val="20"/>
                    </w:rPr>
                    <w:fldChar w:fldCharType="begin"/>
                  </w:r>
                  <w:r>
                    <w:rPr>
                      <w:rFonts w:ascii="Calibri Light" w:hAnsi="Calibri Light" w:cs="Times New Roman"/>
                      <w:color w:val="000000"/>
                      <w:sz w:val="20"/>
                      <w:szCs w:val="20"/>
                    </w:rPr>
                    <w:instrText xml:space="preserve"> =SUM(left) </w:instrText>
                  </w:r>
                  <w:r>
                    <w:rPr>
                      <w:rFonts w:ascii="Calibri Light" w:hAnsi="Calibri Light" w:cs="Times New Roman"/>
                      <w:color w:val="000000"/>
                      <w:sz w:val="20"/>
                      <w:szCs w:val="20"/>
                    </w:rPr>
                    <w:fldChar w:fldCharType="separate"/>
                  </w:r>
                  <w:r>
                    <w:rPr>
                      <w:rFonts w:ascii="Calibri Light" w:hAnsi="Calibri Light" w:cs="Times New Roman"/>
                      <w:noProof/>
                      <w:color w:val="000000"/>
                      <w:sz w:val="20"/>
                      <w:szCs w:val="20"/>
                    </w:rPr>
                    <w:t>0.469</w:t>
                  </w:r>
                  <w:r>
                    <w:rPr>
                      <w:rFonts w:ascii="Calibri Light" w:hAnsi="Calibri Light" w:cs="Times New Roman"/>
                      <w:color w:val="000000"/>
                      <w:sz w:val="20"/>
                      <w:szCs w:val="20"/>
                    </w:rPr>
                    <w:fldChar w:fldCharType="end"/>
                  </w:r>
                </w:p>
              </w:tc>
            </w:tr>
            <w:tr w:rsidR="001638CE" w:rsidRPr="00970F0E" w14:paraId="183E260E" w14:textId="77777777" w:rsidTr="0085514D">
              <w:trPr>
                <w:trHeight w:val="315"/>
                <w:jc w:val="center"/>
              </w:trPr>
              <w:tc>
                <w:tcPr>
                  <w:tcW w:w="0" w:type="auto"/>
                  <w:tcBorders>
                    <w:top w:val="nil"/>
                    <w:left w:val="nil"/>
                    <w:bottom w:val="nil"/>
                    <w:right w:val="nil"/>
                  </w:tcBorders>
                  <w:shd w:val="clear" w:color="auto" w:fill="auto"/>
                  <w:noWrap/>
                  <w:vAlign w:val="center"/>
                  <w:hideMark/>
                </w:tcPr>
                <w:p w14:paraId="4B87BBAB" w14:textId="27982EAD"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Vehicle Workshop Reserve</w:t>
                  </w:r>
                </w:p>
              </w:tc>
              <w:tc>
                <w:tcPr>
                  <w:tcW w:w="0" w:type="auto"/>
                  <w:tcBorders>
                    <w:top w:val="nil"/>
                    <w:left w:val="nil"/>
                    <w:right w:val="nil"/>
                  </w:tcBorders>
                  <w:noWrap/>
                  <w:vAlign w:val="center"/>
                </w:tcPr>
                <w:p w14:paraId="31377819" w14:textId="7AFF4A05"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0.008</w:t>
                  </w:r>
                </w:p>
              </w:tc>
              <w:tc>
                <w:tcPr>
                  <w:tcW w:w="0" w:type="auto"/>
                  <w:tcBorders>
                    <w:top w:val="nil"/>
                    <w:left w:val="nil"/>
                    <w:bottom w:val="nil"/>
                    <w:right w:val="nil"/>
                  </w:tcBorders>
                  <w:vAlign w:val="center"/>
                </w:tcPr>
                <w:p w14:paraId="38071CEA" w14:textId="1A695987"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w:t>
                  </w:r>
                </w:p>
              </w:tc>
              <w:tc>
                <w:tcPr>
                  <w:tcW w:w="0" w:type="auto"/>
                  <w:tcBorders>
                    <w:top w:val="nil"/>
                    <w:left w:val="nil"/>
                    <w:bottom w:val="nil"/>
                    <w:right w:val="nil"/>
                  </w:tcBorders>
                  <w:vAlign w:val="center"/>
                </w:tcPr>
                <w:p w14:paraId="03ED21F1"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3B3BC15D"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7E75EA11" w14:textId="77777777" w:rsidR="001638CE" w:rsidRPr="007D72B6" w:rsidRDefault="001638CE"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0CA193DA" w14:textId="77777777"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2DB1C779" w14:textId="58F46EF4"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Pr>
                      <w:rFonts w:ascii="Calibri Light" w:hAnsi="Calibri Light" w:cs="Times New Roman"/>
                      <w:color w:val="000000"/>
                      <w:sz w:val="20"/>
                      <w:szCs w:val="20"/>
                    </w:rPr>
                    <w:t>.008</w:t>
                  </w:r>
                </w:p>
              </w:tc>
            </w:tr>
            <w:tr w:rsidR="001638CE" w:rsidRPr="00970F0E" w14:paraId="49DA19ED" w14:textId="77777777" w:rsidTr="0085514D">
              <w:trPr>
                <w:trHeight w:val="315"/>
                <w:jc w:val="center"/>
              </w:trPr>
              <w:tc>
                <w:tcPr>
                  <w:tcW w:w="0" w:type="auto"/>
                  <w:tcBorders>
                    <w:top w:val="nil"/>
                    <w:left w:val="nil"/>
                    <w:bottom w:val="nil"/>
                    <w:right w:val="nil"/>
                  </w:tcBorders>
                  <w:shd w:val="clear" w:color="auto" w:fill="auto"/>
                  <w:noWrap/>
                  <w:vAlign w:val="center"/>
                  <w:hideMark/>
                </w:tcPr>
                <w:p w14:paraId="5DE0C8A4" w14:textId="3FB3B698"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Operational Policing Reserve</w:t>
                  </w:r>
                </w:p>
              </w:tc>
              <w:tc>
                <w:tcPr>
                  <w:tcW w:w="0" w:type="auto"/>
                  <w:tcBorders>
                    <w:left w:val="nil"/>
                    <w:right w:val="nil"/>
                  </w:tcBorders>
                  <w:noWrap/>
                  <w:vAlign w:val="center"/>
                </w:tcPr>
                <w:p w14:paraId="137E16D8" w14:textId="3D52C921"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1.691</w:t>
                  </w:r>
                </w:p>
              </w:tc>
              <w:tc>
                <w:tcPr>
                  <w:tcW w:w="0" w:type="auto"/>
                  <w:tcBorders>
                    <w:top w:val="nil"/>
                    <w:left w:val="nil"/>
                    <w:bottom w:val="nil"/>
                    <w:right w:val="nil"/>
                  </w:tcBorders>
                  <w:vAlign w:val="center"/>
                </w:tcPr>
                <w:p w14:paraId="673F1915" w14:textId="56A1DB5D"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w:t>
                  </w:r>
                </w:p>
              </w:tc>
              <w:tc>
                <w:tcPr>
                  <w:tcW w:w="0" w:type="auto"/>
                  <w:tcBorders>
                    <w:top w:val="nil"/>
                    <w:left w:val="nil"/>
                    <w:bottom w:val="nil"/>
                    <w:right w:val="nil"/>
                  </w:tcBorders>
                  <w:vAlign w:val="center"/>
                </w:tcPr>
                <w:p w14:paraId="7AB238CE"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23A328B" w14:textId="77777777" w:rsidR="001638CE" w:rsidRPr="007D72B6" w:rsidRDefault="001638CE"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DB1D424" w14:textId="77777777" w:rsidR="001638CE" w:rsidRPr="007D72B6" w:rsidRDefault="001638CE"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1A243429" w14:textId="77777777" w:rsidR="001638CE" w:rsidRPr="007D72B6" w:rsidRDefault="001638CE"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79F1BC84" w14:textId="627A0979" w:rsidR="001638CE" w:rsidRPr="007D72B6" w:rsidRDefault="001638CE" w:rsidP="001638CE">
                  <w:pPr>
                    <w:ind w:right="170"/>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1.691</w:t>
                  </w:r>
                </w:p>
              </w:tc>
            </w:tr>
            <w:tr w:rsidR="001638CE" w:rsidRPr="00970F0E" w14:paraId="21B8331C" w14:textId="77777777" w:rsidTr="0085514D">
              <w:trPr>
                <w:trHeight w:val="315"/>
                <w:jc w:val="center"/>
              </w:trPr>
              <w:tc>
                <w:tcPr>
                  <w:tcW w:w="0" w:type="auto"/>
                  <w:tcBorders>
                    <w:top w:val="nil"/>
                    <w:left w:val="nil"/>
                    <w:bottom w:val="nil"/>
                    <w:right w:val="nil"/>
                  </w:tcBorders>
                  <w:shd w:val="clear" w:color="auto" w:fill="auto"/>
                  <w:noWrap/>
                  <w:vAlign w:val="center"/>
                </w:tcPr>
                <w:p w14:paraId="4E691962" w14:textId="4F5B3000"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National Driver Offender Retraining scheme</w:t>
                  </w:r>
                </w:p>
              </w:tc>
              <w:tc>
                <w:tcPr>
                  <w:tcW w:w="0" w:type="auto"/>
                  <w:tcBorders>
                    <w:top w:val="nil"/>
                    <w:left w:val="nil"/>
                    <w:right w:val="nil"/>
                  </w:tcBorders>
                  <w:noWrap/>
                  <w:vAlign w:val="center"/>
                </w:tcPr>
                <w:p w14:paraId="30FFA4BC" w14:textId="31D18842"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847</w:t>
                  </w:r>
                </w:p>
              </w:tc>
              <w:tc>
                <w:tcPr>
                  <w:tcW w:w="0" w:type="auto"/>
                  <w:tcBorders>
                    <w:top w:val="nil"/>
                    <w:left w:val="nil"/>
                    <w:bottom w:val="nil"/>
                    <w:right w:val="nil"/>
                  </w:tcBorders>
                  <w:vAlign w:val="center"/>
                </w:tcPr>
                <w:p w14:paraId="5A5F9BDC" w14:textId="209DF75C"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20EB1F6A" w14:textId="15B662E7"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7720ECD6" w14:textId="447084B9"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452ACAF3" w14:textId="198C5DDA" w:rsidR="001638CE" w:rsidRPr="007D72B6" w:rsidRDefault="002B5FAF" w:rsidP="001638CE">
                  <w:pPr>
                    <w:tabs>
                      <w:tab w:val="left" w:pos="472"/>
                    </w:tabs>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15B893D6" w14:textId="454C7C82"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954" w:type="dxa"/>
                  <w:tcBorders>
                    <w:top w:val="nil"/>
                    <w:left w:val="nil"/>
                    <w:bottom w:val="nil"/>
                    <w:right w:val="nil"/>
                  </w:tcBorders>
                  <w:vAlign w:val="center"/>
                </w:tcPr>
                <w:p w14:paraId="650C3E20" w14:textId="0C6C2A00" w:rsidR="001638CE" w:rsidRPr="007D72B6" w:rsidRDefault="002B5FAF" w:rsidP="001638CE">
                  <w:pPr>
                    <w:ind w:right="170"/>
                    <w:jc w:val="right"/>
                    <w:rPr>
                      <w:rFonts w:ascii="Calibri Light" w:hAnsi="Calibri Light" w:cs="Times New Roman"/>
                      <w:color w:val="000000"/>
                      <w:sz w:val="20"/>
                      <w:szCs w:val="20"/>
                    </w:rPr>
                  </w:pPr>
                  <w:r>
                    <w:rPr>
                      <w:rFonts w:ascii="Calibri Light" w:hAnsi="Calibri Light" w:cs="Times New Roman"/>
                      <w:color w:val="000000"/>
                      <w:sz w:val="20"/>
                      <w:szCs w:val="20"/>
                    </w:rPr>
                    <w:fldChar w:fldCharType="begin"/>
                  </w:r>
                  <w:r>
                    <w:rPr>
                      <w:rFonts w:ascii="Calibri Light" w:hAnsi="Calibri Light" w:cs="Times New Roman"/>
                      <w:color w:val="000000"/>
                      <w:sz w:val="20"/>
                      <w:szCs w:val="20"/>
                    </w:rPr>
                    <w:instrText xml:space="preserve"> =SUM(left) </w:instrText>
                  </w:r>
                  <w:r>
                    <w:rPr>
                      <w:rFonts w:ascii="Calibri Light" w:hAnsi="Calibri Light" w:cs="Times New Roman"/>
                      <w:color w:val="000000"/>
                      <w:sz w:val="20"/>
                      <w:szCs w:val="20"/>
                    </w:rPr>
                    <w:fldChar w:fldCharType="separate"/>
                  </w:r>
                  <w:r>
                    <w:rPr>
                      <w:rFonts w:ascii="Calibri Light" w:hAnsi="Calibri Light" w:cs="Times New Roman"/>
                      <w:noProof/>
                      <w:color w:val="000000"/>
                      <w:sz w:val="20"/>
                      <w:szCs w:val="20"/>
                    </w:rPr>
                    <w:t>0.347</w:t>
                  </w:r>
                  <w:r>
                    <w:rPr>
                      <w:rFonts w:ascii="Calibri Light" w:hAnsi="Calibri Light" w:cs="Times New Roman"/>
                      <w:color w:val="000000"/>
                      <w:sz w:val="20"/>
                      <w:szCs w:val="20"/>
                    </w:rPr>
                    <w:fldChar w:fldCharType="end"/>
                  </w:r>
                </w:p>
              </w:tc>
            </w:tr>
            <w:tr w:rsidR="001638CE" w:rsidRPr="00970F0E" w14:paraId="7EBE4A3D" w14:textId="77777777" w:rsidTr="0085514D">
              <w:trPr>
                <w:trHeight w:val="315"/>
                <w:jc w:val="center"/>
              </w:trPr>
              <w:tc>
                <w:tcPr>
                  <w:tcW w:w="0" w:type="auto"/>
                  <w:tcBorders>
                    <w:top w:val="nil"/>
                    <w:left w:val="nil"/>
                    <w:bottom w:val="nil"/>
                    <w:right w:val="nil"/>
                  </w:tcBorders>
                  <w:shd w:val="clear" w:color="auto" w:fill="auto"/>
                  <w:noWrap/>
                  <w:vAlign w:val="center"/>
                </w:tcPr>
                <w:p w14:paraId="4F216A3F" w14:textId="2D402802"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Speed enforcement reserve</w:t>
                  </w:r>
                </w:p>
              </w:tc>
              <w:tc>
                <w:tcPr>
                  <w:tcW w:w="0" w:type="auto"/>
                  <w:tcBorders>
                    <w:top w:val="nil"/>
                    <w:left w:val="nil"/>
                    <w:right w:val="nil"/>
                  </w:tcBorders>
                  <w:noWrap/>
                  <w:vAlign w:val="center"/>
                </w:tcPr>
                <w:p w14:paraId="4FF5C1DC" w14:textId="5A9644C1"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1.</w:t>
                  </w:r>
                  <w:r w:rsidR="002B5FAF">
                    <w:rPr>
                      <w:rFonts w:ascii="Calibri Light" w:hAnsi="Calibri Light" w:cs="Times New Roman"/>
                      <w:color w:val="000000"/>
                      <w:sz w:val="20"/>
                      <w:szCs w:val="20"/>
                    </w:rPr>
                    <w:t>496</w:t>
                  </w:r>
                </w:p>
              </w:tc>
              <w:tc>
                <w:tcPr>
                  <w:tcW w:w="0" w:type="auto"/>
                  <w:tcBorders>
                    <w:top w:val="nil"/>
                    <w:left w:val="nil"/>
                    <w:bottom w:val="nil"/>
                    <w:right w:val="nil"/>
                  </w:tcBorders>
                  <w:vAlign w:val="center"/>
                </w:tcPr>
                <w:p w14:paraId="221AFFFF" w14:textId="7CD628C0" w:rsidR="001638CE" w:rsidRPr="007D72B6" w:rsidRDefault="001638CE" w:rsidP="001638CE">
                  <w:pPr>
                    <w:ind w:right="57"/>
                    <w:jc w:val="right"/>
                    <w:rPr>
                      <w:rFonts w:ascii="Calibri Light" w:hAnsi="Calibri Light" w:cs="Times New Roman"/>
                      <w:color w:val="000000"/>
                      <w:sz w:val="20"/>
                      <w:szCs w:val="20"/>
                    </w:rPr>
                  </w:pPr>
                  <w:r w:rsidRPr="007D72B6">
                    <w:rPr>
                      <w:rFonts w:ascii="Calibri Light" w:hAnsi="Calibri Light" w:cs="Times New Roman"/>
                      <w:color w:val="000000"/>
                      <w:sz w:val="20"/>
                      <w:szCs w:val="20"/>
                    </w:rPr>
                    <w:t>-0.</w:t>
                  </w:r>
                  <w:r w:rsidR="002B5FAF">
                    <w:rPr>
                      <w:rFonts w:ascii="Calibri Light" w:hAnsi="Calibri Light" w:cs="Times New Roman"/>
                      <w:color w:val="000000"/>
                      <w:sz w:val="20"/>
                      <w:szCs w:val="20"/>
                    </w:rPr>
                    <w:t>3</w:t>
                  </w:r>
                  <w:r>
                    <w:rPr>
                      <w:rFonts w:ascii="Calibri Light" w:hAnsi="Calibri Light" w:cs="Times New Roman"/>
                      <w:color w:val="000000"/>
                      <w:sz w:val="20"/>
                      <w:szCs w:val="20"/>
                    </w:rPr>
                    <w:t>00</w:t>
                  </w:r>
                </w:p>
              </w:tc>
              <w:tc>
                <w:tcPr>
                  <w:tcW w:w="0" w:type="auto"/>
                  <w:tcBorders>
                    <w:top w:val="nil"/>
                    <w:left w:val="nil"/>
                    <w:bottom w:val="nil"/>
                    <w:right w:val="nil"/>
                  </w:tcBorders>
                  <w:vAlign w:val="center"/>
                </w:tcPr>
                <w:p w14:paraId="00DBA2C5" w14:textId="7C49AF04"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-0.300</w:t>
                  </w:r>
                </w:p>
              </w:tc>
              <w:tc>
                <w:tcPr>
                  <w:tcW w:w="0" w:type="auto"/>
                  <w:tcBorders>
                    <w:top w:val="nil"/>
                    <w:left w:val="nil"/>
                    <w:bottom w:val="nil"/>
                    <w:right w:val="nil"/>
                  </w:tcBorders>
                  <w:vAlign w:val="center"/>
                </w:tcPr>
                <w:p w14:paraId="05001DD6" w14:textId="2299916D"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-0.300</w:t>
                  </w:r>
                </w:p>
              </w:tc>
              <w:tc>
                <w:tcPr>
                  <w:tcW w:w="0" w:type="auto"/>
                  <w:tcBorders>
                    <w:top w:val="nil"/>
                    <w:left w:val="nil"/>
                    <w:bottom w:val="nil"/>
                    <w:right w:val="nil"/>
                  </w:tcBorders>
                  <w:vAlign w:val="center"/>
                </w:tcPr>
                <w:p w14:paraId="70854C0B" w14:textId="2C70785D" w:rsidR="001638CE" w:rsidRPr="007D72B6" w:rsidRDefault="001638CE" w:rsidP="001638CE">
                  <w:pPr>
                    <w:tabs>
                      <w:tab w:val="left" w:pos="472"/>
                    </w:tabs>
                    <w:ind w:right="57"/>
                    <w:jc w:val="right"/>
                    <w:rPr>
                      <w:rFonts w:ascii="Calibri Light" w:hAnsi="Calibri Light" w:cs="Times New Roman"/>
                      <w:color w:val="000000"/>
                      <w:sz w:val="20"/>
                      <w:szCs w:val="20"/>
                    </w:rPr>
                  </w:pPr>
                  <w:r>
                    <w:rPr>
                      <w:rFonts w:ascii="Calibri Light" w:hAnsi="Calibri Light" w:cs="Times New Roman"/>
                      <w:color w:val="000000"/>
                      <w:sz w:val="20"/>
                      <w:szCs w:val="20"/>
                    </w:rPr>
                    <w:t>-0.300</w:t>
                  </w:r>
                </w:p>
              </w:tc>
              <w:tc>
                <w:tcPr>
                  <w:tcW w:w="0" w:type="auto"/>
                  <w:tcBorders>
                    <w:top w:val="nil"/>
                    <w:left w:val="nil"/>
                    <w:bottom w:val="nil"/>
                    <w:right w:val="nil"/>
                  </w:tcBorders>
                  <w:vAlign w:val="center"/>
                </w:tcPr>
                <w:p w14:paraId="44C33B43" w14:textId="01035DFC" w:rsidR="001638CE" w:rsidRPr="007D72B6" w:rsidRDefault="001638CE"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w:t>
                  </w:r>
                  <w:r w:rsidR="002B5FAF">
                    <w:rPr>
                      <w:rFonts w:ascii="Calibri Light" w:hAnsi="Calibri Light" w:cs="Times New Roman"/>
                      <w:color w:val="000000"/>
                      <w:sz w:val="20"/>
                      <w:szCs w:val="20"/>
                    </w:rPr>
                    <w:t>296</w:t>
                  </w:r>
                </w:p>
              </w:tc>
              <w:tc>
                <w:tcPr>
                  <w:tcW w:w="954" w:type="dxa"/>
                  <w:tcBorders>
                    <w:top w:val="nil"/>
                    <w:left w:val="nil"/>
                    <w:bottom w:val="nil"/>
                    <w:right w:val="nil"/>
                  </w:tcBorders>
                  <w:vAlign w:val="center"/>
                </w:tcPr>
                <w:p w14:paraId="10C55E45" w14:textId="18356EC4" w:rsidR="001638CE" w:rsidRPr="007D72B6" w:rsidRDefault="002B5FAF" w:rsidP="001638CE">
                  <w:pPr>
                    <w:ind w:right="170"/>
                    <w:jc w:val="right"/>
                    <w:rPr>
                      <w:rFonts w:ascii="Calibri Light" w:hAnsi="Calibri Light" w:cs="Times New Roman"/>
                      <w:color w:val="000000"/>
                      <w:sz w:val="20"/>
                      <w:szCs w:val="20"/>
                    </w:rPr>
                  </w:pPr>
                  <w:r>
                    <w:rPr>
                      <w:rFonts w:ascii="Calibri Light" w:hAnsi="Calibri Light" w:cs="Times New Roman"/>
                      <w:color w:val="000000"/>
                      <w:sz w:val="20"/>
                      <w:szCs w:val="20"/>
                    </w:rPr>
                    <w:t>0</w:t>
                  </w:r>
                </w:p>
              </w:tc>
            </w:tr>
            <w:tr w:rsidR="002B5FAF" w:rsidRPr="00970F0E" w14:paraId="60E88720" w14:textId="77777777" w:rsidTr="0085514D">
              <w:trPr>
                <w:trHeight w:val="315"/>
                <w:jc w:val="center"/>
              </w:trPr>
              <w:tc>
                <w:tcPr>
                  <w:tcW w:w="0" w:type="auto"/>
                  <w:tcBorders>
                    <w:top w:val="nil"/>
                    <w:left w:val="nil"/>
                    <w:bottom w:val="nil"/>
                    <w:right w:val="nil"/>
                  </w:tcBorders>
                  <w:shd w:val="clear" w:color="auto" w:fill="auto"/>
                  <w:noWrap/>
                  <w:vAlign w:val="center"/>
                </w:tcPr>
                <w:p w14:paraId="46864405" w14:textId="2BC07A00" w:rsidR="002B5FAF" w:rsidRPr="0085514D" w:rsidRDefault="002B5FAF" w:rsidP="001638CE">
                  <w:pPr>
                    <w:rPr>
                      <w:rFonts w:ascii="Calibri Light" w:hAnsi="Calibri Light" w:cs="Times New Roman"/>
                      <w:color w:val="000000"/>
                      <w:szCs w:val="24"/>
                    </w:rPr>
                  </w:pPr>
                  <w:r>
                    <w:rPr>
                      <w:rFonts w:ascii="Calibri Light" w:hAnsi="Calibri Light" w:cs="Times New Roman"/>
                      <w:color w:val="000000"/>
                      <w:szCs w:val="24"/>
                    </w:rPr>
                    <w:t>Regional collaborations</w:t>
                  </w:r>
                </w:p>
              </w:tc>
              <w:tc>
                <w:tcPr>
                  <w:tcW w:w="0" w:type="auto"/>
                  <w:tcBorders>
                    <w:top w:val="nil"/>
                    <w:left w:val="nil"/>
                    <w:right w:val="nil"/>
                  </w:tcBorders>
                  <w:noWrap/>
                  <w:vAlign w:val="center"/>
                </w:tcPr>
                <w:p w14:paraId="27EC3C0D" w14:textId="47A5F65F" w:rsidR="002B5FAF"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0.160</w:t>
                  </w:r>
                </w:p>
              </w:tc>
              <w:tc>
                <w:tcPr>
                  <w:tcW w:w="0" w:type="auto"/>
                  <w:tcBorders>
                    <w:top w:val="nil"/>
                    <w:left w:val="nil"/>
                    <w:bottom w:val="nil"/>
                    <w:right w:val="nil"/>
                  </w:tcBorders>
                  <w:vAlign w:val="center"/>
                </w:tcPr>
                <w:p w14:paraId="2CC87619" w14:textId="77777777" w:rsidR="002B5FAF" w:rsidRPr="007D72B6" w:rsidRDefault="002B5FAF"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2167597A" w14:textId="77777777" w:rsidR="002B5FAF" w:rsidRDefault="002B5FAF"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14E0603C" w14:textId="77777777" w:rsidR="002B5FAF" w:rsidRDefault="002B5FAF" w:rsidP="001638CE">
                  <w:pPr>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7ED89923" w14:textId="77777777" w:rsidR="002B5FAF" w:rsidRDefault="002B5FAF" w:rsidP="001638CE">
                  <w:pPr>
                    <w:tabs>
                      <w:tab w:val="left" w:pos="472"/>
                    </w:tabs>
                    <w:ind w:right="57"/>
                    <w:jc w:val="right"/>
                    <w:rPr>
                      <w:rFonts w:ascii="Calibri Light" w:hAnsi="Calibri Light" w:cs="Times New Roman"/>
                      <w:color w:val="000000"/>
                      <w:sz w:val="20"/>
                      <w:szCs w:val="20"/>
                    </w:rPr>
                  </w:pPr>
                </w:p>
              </w:tc>
              <w:tc>
                <w:tcPr>
                  <w:tcW w:w="0" w:type="auto"/>
                  <w:tcBorders>
                    <w:top w:val="nil"/>
                    <w:left w:val="nil"/>
                    <w:bottom w:val="nil"/>
                    <w:right w:val="nil"/>
                  </w:tcBorders>
                  <w:vAlign w:val="center"/>
                </w:tcPr>
                <w:p w14:paraId="5677CE85" w14:textId="77777777" w:rsidR="002B5FAF" w:rsidRDefault="002B5FAF" w:rsidP="001638CE">
                  <w:pPr>
                    <w:ind w:right="57"/>
                    <w:jc w:val="right"/>
                    <w:rPr>
                      <w:rFonts w:ascii="Calibri Light" w:hAnsi="Calibri Light" w:cs="Times New Roman"/>
                      <w:color w:val="000000"/>
                      <w:sz w:val="20"/>
                      <w:szCs w:val="20"/>
                    </w:rPr>
                  </w:pPr>
                </w:p>
              </w:tc>
              <w:tc>
                <w:tcPr>
                  <w:tcW w:w="954" w:type="dxa"/>
                  <w:tcBorders>
                    <w:top w:val="nil"/>
                    <w:left w:val="nil"/>
                    <w:bottom w:val="nil"/>
                    <w:right w:val="nil"/>
                  </w:tcBorders>
                  <w:vAlign w:val="center"/>
                </w:tcPr>
                <w:p w14:paraId="4D3AB96E" w14:textId="64A930AA" w:rsidR="002B5FAF" w:rsidRDefault="002B5FAF" w:rsidP="001638CE">
                  <w:pPr>
                    <w:ind w:right="170"/>
                    <w:jc w:val="right"/>
                    <w:rPr>
                      <w:rFonts w:ascii="Calibri Light" w:hAnsi="Calibri Light" w:cs="Times New Roman"/>
                      <w:color w:val="000000"/>
                      <w:sz w:val="20"/>
                      <w:szCs w:val="20"/>
                    </w:rPr>
                  </w:pPr>
                  <w:r>
                    <w:rPr>
                      <w:rFonts w:ascii="Calibri Light" w:hAnsi="Calibri Light" w:cs="Times New Roman"/>
                      <w:color w:val="000000"/>
                      <w:sz w:val="20"/>
                      <w:szCs w:val="20"/>
                    </w:rPr>
                    <w:t>0.160</w:t>
                  </w:r>
                </w:p>
              </w:tc>
            </w:tr>
            <w:tr w:rsidR="001638CE" w:rsidRPr="00970F0E" w14:paraId="45963489" w14:textId="77777777" w:rsidTr="0085514D">
              <w:trPr>
                <w:trHeight w:val="315"/>
                <w:jc w:val="center"/>
              </w:trPr>
              <w:tc>
                <w:tcPr>
                  <w:tcW w:w="0" w:type="auto"/>
                  <w:tcBorders>
                    <w:top w:val="nil"/>
                    <w:left w:val="nil"/>
                    <w:bottom w:val="single" w:sz="4" w:space="0" w:color="auto"/>
                    <w:right w:val="nil"/>
                  </w:tcBorders>
                  <w:shd w:val="clear" w:color="auto" w:fill="auto"/>
                  <w:noWrap/>
                  <w:vAlign w:val="center"/>
                  <w:hideMark/>
                </w:tcPr>
                <w:p w14:paraId="653309CF" w14:textId="50774A5E" w:rsidR="001638CE" w:rsidRPr="0085514D" w:rsidRDefault="001638CE" w:rsidP="001638CE">
                  <w:pPr>
                    <w:rPr>
                      <w:rFonts w:ascii="Calibri Light" w:hAnsi="Calibri Light" w:cs="Times New Roman"/>
                      <w:color w:val="000000"/>
                      <w:szCs w:val="24"/>
                    </w:rPr>
                  </w:pPr>
                  <w:r w:rsidRPr="0085514D">
                    <w:rPr>
                      <w:rFonts w:ascii="Calibri Light" w:hAnsi="Calibri Light" w:cs="Times New Roman"/>
                      <w:color w:val="000000"/>
                      <w:szCs w:val="24"/>
                    </w:rPr>
                    <w:t>Proceeds of crime act reserve</w:t>
                  </w:r>
                </w:p>
              </w:tc>
              <w:tc>
                <w:tcPr>
                  <w:tcW w:w="0" w:type="auto"/>
                  <w:tcBorders>
                    <w:top w:val="nil"/>
                    <w:left w:val="nil"/>
                    <w:bottom w:val="single" w:sz="4" w:space="0" w:color="auto"/>
                    <w:right w:val="nil"/>
                  </w:tcBorders>
                  <w:noWrap/>
                  <w:vAlign w:val="center"/>
                </w:tcPr>
                <w:p w14:paraId="720C2995" w14:textId="18D542D7"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1.153</w:t>
                  </w:r>
                </w:p>
              </w:tc>
              <w:tc>
                <w:tcPr>
                  <w:tcW w:w="0" w:type="auto"/>
                  <w:tcBorders>
                    <w:top w:val="nil"/>
                    <w:left w:val="nil"/>
                    <w:bottom w:val="nil"/>
                    <w:right w:val="nil"/>
                  </w:tcBorders>
                  <w:vAlign w:val="center"/>
                </w:tcPr>
                <w:p w14:paraId="57A41BBC" w14:textId="3B9F0E97"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4DC8D6A2" w14:textId="13CE445B"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2CDEEECD" w14:textId="3FB3E3C0"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7F7C022A" w14:textId="282672A0" w:rsidR="001638CE" w:rsidRPr="007D72B6" w:rsidRDefault="002B5FAF" w:rsidP="001638CE">
                  <w:pPr>
                    <w:tabs>
                      <w:tab w:val="left" w:pos="472"/>
                    </w:tabs>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0" w:type="auto"/>
                  <w:tcBorders>
                    <w:top w:val="nil"/>
                    <w:left w:val="nil"/>
                    <w:bottom w:val="nil"/>
                    <w:right w:val="nil"/>
                  </w:tcBorders>
                  <w:vAlign w:val="center"/>
                </w:tcPr>
                <w:p w14:paraId="536C0157" w14:textId="38D55AD5" w:rsidR="001638CE" w:rsidRPr="007D72B6" w:rsidRDefault="002B5FAF" w:rsidP="001638CE">
                  <w:pPr>
                    <w:ind w:right="57"/>
                    <w:jc w:val="right"/>
                    <w:rPr>
                      <w:rFonts w:ascii="Calibri Light" w:hAnsi="Calibri Light" w:cs="Times New Roman"/>
                      <w:color w:val="000000"/>
                      <w:sz w:val="20"/>
                      <w:szCs w:val="20"/>
                    </w:rPr>
                  </w:pPr>
                  <w:r>
                    <w:rPr>
                      <w:rFonts w:ascii="Calibri Light" w:hAnsi="Calibri Light" w:cs="Times New Roman"/>
                      <w:color w:val="000000"/>
                      <w:sz w:val="20"/>
                      <w:szCs w:val="20"/>
                    </w:rPr>
                    <w:t>-0.100</w:t>
                  </w:r>
                </w:p>
              </w:tc>
              <w:tc>
                <w:tcPr>
                  <w:tcW w:w="954" w:type="dxa"/>
                  <w:tcBorders>
                    <w:top w:val="nil"/>
                    <w:left w:val="nil"/>
                    <w:bottom w:val="nil"/>
                    <w:right w:val="nil"/>
                  </w:tcBorders>
                  <w:vAlign w:val="center"/>
                </w:tcPr>
                <w:p w14:paraId="717C38A6" w14:textId="3C1724FB" w:rsidR="001638CE" w:rsidRPr="007D72B6" w:rsidRDefault="002B5FAF" w:rsidP="001638CE">
                  <w:pPr>
                    <w:ind w:right="170"/>
                    <w:jc w:val="right"/>
                    <w:rPr>
                      <w:rFonts w:ascii="Calibri Light" w:hAnsi="Calibri Light" w:cs="Times New Roman"/>
                      <w:color w:val="000000"/>
                      <w:sz w:val="20"/>
                      <w:szCs w:val="20"/>
                    </w:rPr>
                  </w:pPr>
                  <w:r>
                    <w:rPr>
                      <w:rFonts w:ascii="Calibri Light" w:hAnsi="Calibri Light" w:cs="Times New Roman"/>
                      <w:color w:val="000000"/>
                      <w:sz w:val="20"/>
                      <w:szCs w:val="20"/>
                    </w:rPr>
                    <w:fldChar w:fldCharType="begin"/>
                  </w:r>
                  <w:r>
                    <w:rPr>
                      <w:rFonts w:ascii="Calibri Light" w:hAnsi="Calibri Light" w:cs="Times New Roman"/>
                      <w:color w:val="000000"/>
                      <w:sz w:val="20"/>
                      <w:szCs w:val="20"/>
                    </w:rPr>
                    <w:instrText xml:space="preserve"> =SUM(left) </w:instrText>
                  </w:r>
                  <w:r>
                    <w:rPr>
                      <w:rFonts w:ascii="Calibri Light" w:hAnsi="Calibri Light" w:cs="Times New Roman"/>
                      <w:color w:val="000000"/>
                      <w:sz w:val="20"/>
                      <w:szCs w:val="20"/>
                    </w:rPr>
                    <w:fldChar w:fldCharType="separate"/>
                  </w:r>
                  <w:r>
                    <w:rPr>
                      <w:rFonts w:ascii="Calibri Light" w:hAnsi="Calibri Light" w:cs="Times New Roman"/>
                      <w:noProof/>
                      <w:color w:val="000000"/>
                      <w:sz w:val="20"/>
                      <w:szCs w:val="20"/>
                    </w:rPr>
                    <w:t>0.653</w:t>
                  </w:r>
                  <w:r>
                    <w:rPr>
                      <w:rFonts w:ascii="Calibri Light" w:hAnsi="Calibri Light" w:cs="Times New Roman"/>
                      <w:color w:val="000000"/>
                      <w:sz w:val="20"/>
                      <w:szCs w:val="20"/>
                    </w:rPr>
                    <w:fldChar w:fldCharType="end"/>
                  </w:r>
                </w:p>
              </w:tc>
            </w:tr>
            <w:tr w:rsidR="001638CE" w:rsidRPr="00970F0E" w14:paraId="5F53928D" w14:textId="77777777" w:rsidTr="0085514D">
              <w:trPr>
                <w:trHeight w:val="330"/>
                <w:jc w:val="center"/>
              </w:trPr>
              <w:tc>
                <w:tcPr>
                  <w:tcW w:w="0" w:type="auto"/>
                  <w:tcBorders>
                    <w:top w:val="single" w:sz="4" w:space="0" w:color="auto"/>
                    <w:left w:val="nil"/>
                    <w:bottom w:val="single" w:sz="4" w:space="0" w:color="auto"/>
                    <w:right w:val="nil"/>
                  </w:tcBorders>
                  <w:shd w:val="clear" w:color="auto" w:fill="auto"/>
                  <w:noWrap/>
                  <w:vAlign w:val="center"/>
                  <w:hideMark/>
                </w:tcPr>
                <w:p w14:paraId="2E6A4BE7" w14:textId="77777777" w:rsidR="001638CE" w:rsidRPr="0085514D" w:rsidRDefault="001638CE" w:rsidP="001638CE">
                  <w:pPr>
                    <w:rPr>
                      <w:rFonts w:ascii="Calibri Light" w:hAnsi="Calibri Light" w:cs="Times New Roman"/>
                      <w:b/>
                      <w:color w:val="000000"/>
                      <w:szCs w:val="24"/>
                    </w:rPr>
                  </w:pPr>
                  <w:r w:rsidRPr="0085514D">
                    <w:rPr>
                      <w:rFonts w:ascii="Calibri Light" w:hAnsi="Calibri Light" w:cs="Times New Roman"/>
                      <w:b/>
                      <w:color w:val="000000"/>
                      <w:szCs w:val="24"/>
                    </w:rPr>
                    <w:t>Total Earmarked Reserves</w:t>
                  </w:r>
                </w:p>
              </w:tc>
              <w:tc>
                <w:tcPr>
                  <w:tcW w:w="0" w:type="auto"/>
                  <w:tcBorders>
                    <w:top w:val="single" w:sz="8" w:space="0" w:color="auto"/>
                    <w:left w:val="nil"/>
                    <w:bottom w:val="single" w:sz="8" w:space="0" w:color="auto"/>
                    <w:right w:val="nil"/>
                  </w:tcBorders>
                  <w:noWrap/>
                  <w:vAlign w:val="center"/>
                </w:tcPr>
                <w:p w14:paraId="3EEEB87B" w14:textId="65EEC917" w:rsidR="001638CE" w:rsidRPr="007D72B6" w:rsidRDefault="002B5FAF" w:rsidP="001638CE">
                  <w:pPr>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fldChar w:fldCharType="begin"/>
                  </w:r>
                  <w:r>
                    <w:rPr>
                      <w:rFonts w:ascii="Calibri Light" w:hAnsi="Calibri Light" w:cs="Times New Roman"/>
                      <w:b/>
                      <w:color w:val="000000"/>
                      <w:sz w:val="20"/>
                      <w:szCs w:val="20"/>
                    </w:rPr>
                    <w:instrText xml:space="preserve"> =SUM(ABOVE) </w:instrText>
                  </w:r>
                  <w:r>
                    <w:rPr>
                      <w:rFonts w:ascii="Calibri Light" w:hAnsi="Calibri Light" w:cs="Times New Roman"/>
                      <w:b/>
                      <w:color w:val="000000"/>
                      <w:sz w:val="20"/>
                      <w:szCs w:val="20"/>
                    </w:rPr>
                    <w:fldChar w:fldCharType="separate"/>
                  </w:r>
                  <w:r>
                    <w:rPr>
                      <w:rFonts w:ascii="Calibri Light" w:hAnsi="Calibri Light" w:cs="Times New Roman"/>
                      <w:b/>
                      <w:noProof/>
                      <w:color w:val="000000"/>
                      <w:sz w:val="20"/>
                      <w:szCs w:val="20"/>
                    </w:rPr>
                    <w:t>11.508</w:t>
                  </w:r>
                  <w:r>
                    <w:rPr>
                      <w:rFonts w:ascii="Calibri Light" w:hAnsi="Calibri Light" w:cs="Times New Roman"/>
                      <w:b/>
                      <w:color w:val="000000"/>
                      <w:sz w:val="20"/>
                      <w:szCs w:val="20"/>
                    </w:rPr>
                    <w:fldChar w:fldCharType="end"/>
                  </w:r>
                </w:p>
              </w:tc>
              <w:tc>
                <w:tcPr>
                  <w:tcW w:w="0" w:type="auto"/>
                  <w:tcBorders>
                    <w:top w:val="single" w:sz="8" w:space="0" w:color="auto"/>
                    <w:left w:val="nil"/>
                    <w:bottom w:val="single" w:sz="8" w:space="0" w:color="auto"/>
                    <w:right w:val="nil"/>
                  </w:tcBorders>
                  <w:vAlign w:val="center"/>
                </w:tcPr>
                <w:p w14:paraId="67281F2C" w14:textId="33222B2D" w:rsidR="001638CE" w:rsidRPr="007D72B6" w:rsidRDefault="002B5FAF" w:rsidP="001638CE">
                  <w:pPr>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fldChar w:fldCharType="begin"/>
                  </w:r>
                  <w:r>
                    <w:rPr>
                      <w:rFonts w:ascii="Calibri Light" w:hAnsi="Calibri Light" w:cs="Times New Roman"/>
                      <w:b/>
                      <w:color w:val="000000"/>
                      <w:sz w:val="20"/>
                      <w:szCs w:val="20"/>
                    </w:rPr>
                    <w:instrText xml:space="preserve"> =SUM(ABOVE) </w:instrText>
                  </w:r>
                  <w:r>
                    <w:rPr>
                      <w:rFonts w:ascii="Calibri Light" w:hAnsi="Calibri Light" w:cs="Times New Roman"/>
                      <w:b/>
                      <w:color w:val="000000"/>
                      <w:sz w:val="20"/>
                      <w:szCs w:val="20"/>
                    </w:rPr>
                    <w:fldChar w:fldCharType="separate"/>
                  </w:r>
                  <w:r>
                    <w:rPr>
                      <w:rFonts w:ascii="Calibri Light" w:hAnsi="Calibri Light" w:cs="Times New Roman"/>
                      <w:b/>
                      <w:noProof/>
                      <w:color w:val="000000"/>
                      <w:sz w:val="20"/>
                      <w:szCs w:val="20"/>
                    </w:rPr>
                    <w:t>-5.299</w:t>
                  </w:r>
                  <w:r>
                    <w:rPr>
                      <w:rFonts w:ascii="Calibri Light" w:hAnsi="Calibri Light" w:cs="Times New Roman"/>
                      <w:b/>
                      <w:color w:val="000000"/>
                      <w:sz w:val="20"/>
                      <w:szCs w:val="20"/>
                    </w:rPr>
                    <w:fldChar w:fldCharType="end"/>
                  </w:r>
                </w:p>
              </w:tc>
              <w:tc>
                <w:tcPr>
                  <w:tcW w:w="0" w:type="auto"/>
                  <w:tcBorders>
                    <w:top w:val="single" w:sz="8" w:space="0" w:color="auto"/>
                    <w:left w:val="nil"/>
                    <w:bottom w:val="single" w:sz="8" w:space="0" w:color="auto"/>
                    <w:right w:val="nil"/>
                  </w:tcBorders>
                  <w:vAlign w:val="center"/>
                </w:tcPr>
                <w:p w14:paraId="0940C8AF" w14:textId="0F840433" w:rsidR="001638CE" w:rsidRPr="007D72B6" w:rsidRDefault="001638CE" w:rsidP="001638CE">
                  <w:pPr>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t>-0.</w:t>
                  </w:r>
                  <w:r w:rsidR="002B5FAF">
                    <w:rPr>
                      <w:rFonts w:ascii="Calibri Light" w:hAnsi="Calibri Light" w:cs="Times New Roman"/>
                      <w:b/>
                      <w:color w:val="000000"/>
                      <w:sz w:val="20"/>
                      <w:szCs w:val="20"/>
                    </w:rPr>
                    <w:t>550</w:t>
                  </w:r>
                </w:p>
              </w:tc>
              <w:tc>
                <w:tcPr>
                  <w:tcW w:w="0" w:type="auto"/>
                  <w:tcBorders>
                    <w:top w:val="single" w:sz="8" w:space="0" w:color="auto"/>
                    <w:left w:val="nil"/>
                    <w:bottom w:val="single" w:sz="8" w:space="0" w:color="auto"/>
                    <w:right w:val="nil"/>
                  </w:tcBorders>
                  <w:vAlign w:val="center"/>
                </w:tcPr>
                <w:p w14:paraId="155F920E" w14:textId="2F797179" w:rsidR="001638CE" w:rsidRPr="007D72B6" w:rsidRDefault="001638CE" w:rsidP="001638CE">
                  <w:pPr>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t>-0.</w:t>
                  </w:r>
                  <w:r w:rsidR="002B5FAF">
                    <w:rPr>
                      <w:rFonts w:ascii="Calibri Light" w:hAnsi="Calibri Light" w:cs="Times New Roman"/>
                      <w:b/>
                      <w:color w:val="000000"/>
                      <w:sz w:val="20"/>
                      <w:szCs w:val="20"/>
                    </w:rPr>
                    <w:t>55</w:t>
                  </w:r>
                  <w:r>
                    <w:rPr>
                      <w:rFonts w:ascii="Calibri Light" w:hAnsi="Calibri Light" w:cs="Times New Roman"/>
                      <w:b/>
                      <w:color w:val="000000"/>
                      <w:sz w:val="20"/>
                      <w:szCs w:val="20"/>
                    </w:rPr>
                    <w:t>0</w:t>
                  </w:r>
                </w:p>
              </w:tc>
              <w:tc>
                <w:tcPr>
                  <w:tcW w:w="0" w:type="auto"/>
                  <w:tcBorders>
                    <w:top w:val="single" w:sz="8" w:space="0" w:color="auto"/>
                    <w:left w:val="nil"/>
                    <w:bottom w:val="single" w:sz="8" w:space="0" w:color="auto"/>
                    <w:right w:val="nil"/>
                  </w:tcBorders>
                  <w:vAlign w:val="center"/>
                </w:tcPr>
                <w:p w14:paraId="0E72EA92" w14:textId="71853142" w:rsidR="001638CE" w:rsidRPr="007D72B6" w:rsidRDefault="001638CE" w:rsidP="001638CE">
                  <w:pPr>
                    <w:tabs>
                      <w:tab w:val="left" w:pos="472"/>
                    </w:tabs>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t>-0.</w:t>
                  </w:r>
                  <w:r w:rsidR="002B5FAF">
                    <w:rPr>
                      <w:rFonts w:ascii="Calibri Light" w:hAnsi="Calibri Light" w:cs="Times New Roman"/>
                      <w:b/>
                      <w:color w:val="000000"/>
                      <w:sz w:val="20"/>
                      <w:szCs w:val="20"/>
                    </w:rPr>
                    <w:t>550</w:t>
                  </w:r>
                  <w:r>
                    <w:rPr>
                      <w:rFonts w:ascii="Calibri Light" w:hAnsi="Calibri Light" w:cs="Times New Roman"/>
                      <w:b/>
                      <w:color w:val="000000"/>
                      <w:sz w:val="20"/>
                      <w:szCs w:val="20"/>
                    </w:rPr>
                    <w:t>0</w:t>
                  </w:r>
                </w:p>
              </w:tc>
              <w:tc>
                <w:tcPr>
                  <w:tcW w:w="0" w:type="auto"/>
                  <w:tcBorders>
                    <w:top w:val="single" w:sz="8" w:space="0" w:color="auto"/>
                    <w:left w:val="nil"/>
                    <w:bottom w:val="single" w:sz="8" w:space="0" w:color="auto"/>
                    <w:right w:val="nil"/>
                  </w:tcBorders>
                  <w:vAlign w:val="center"/>
                </w:tcPr>
                <w:p w14:paraId="699DA174" w14:textId="1254260C" w:rsidR="001638CE" w:rsidRPr="007D72B6" w:rsidRDefault="001638CE" w:rsidP="001638CE">
                  <w:pPr>
                    <w:ind w:right="57"/>
                    <w:jc w:val="right"/>
                    <w:rPr>
                      <w:rFonts w:ascii="Calibri Light" w:hAnsi="Calibri Light" w:cs="Times New Roman"/>
                      <w:b/>
                      <w:color w:val="000000"/>
                      <w:sz w:val="20"/>
                      <w:szCs w:val="20"/>
                    </w:rPr>
                  </w:pPr>
                  <w:r>
                    <w:rPr>
                      <w:rFonts w:ascii="Calibri Light" w:hAnsi="Calibri Light" w:cs="Times New Roman"/>
                      <w:b/>
                      <w:color w:val="000000"/>
                      <w:sz w:val="20"/>
                      <w:szCs w:val="20"/>
                    </w:rPr>
                    <w:t>-0.</w:t>
                  </w:r>
                  <w:r w:rsidR="002B5FAF">
                    <w:rPr>
                      <w:rFonts w:ascii="Calibri Light" w:hAnsi="Calibri Light" w:cs="Times New Roman"/>
                      <w:b/>
                      <w:color w:val="000000"/>
                      <w:sz w:val="20"/>
                      <w:szCs w:val="20"/>
                    </w:rPr>
                    <w:t>546</w:t>
                  </w:r>
                </w:p>
              </w:tc>
              <w:tc>
                <w:tcPr>
                  <w:tcW w:w="954" w:type="dxa"/>
                  <w:tcBorders>
                    <w:top w:val="single" w:sz="8" w:space="0" w:color="auto"/>
                    <w:left w:val="nil"/>
                    <w:bottom w:val="single" w:sz="8" w:space="0" w:color="auto"/>
                    <w:right w:val="nil"/>
                  </w:tcBorders>
                  <w:vAlign w:val="center"/>
                </w:tcPr>
                <w:p w14:paraId="5F47C4BE" w14:textId="56AA6235" w:rsidR="001638CE" w:rsidRPr="007D72B6" w:rsidRDefault="002B5FAF" w:rsidP="001638CE">
                  <w:pPr>
                    <w:ind w:right="170"/>
                    <w:jc w:val="right"/>
                    <w:rPr>
                      <w:rFonts w:ascii="Calibri Light" w:hAnsi="Calibri Light" w:cs="Times New Roman"/>
                      <w:b/>
                      <w:color w:val="000000"/>
                      <w:sz w:val="20"/>
                      <w:szCs w:val="20"/>
                    </w:rPr>
                  </w:pPr>
                  <w:r>
                    <w:rPr>
                      <w:rFonts w:ascii="Calibri Light" w:hAnsi="Calibri Light" w:cs="Times New Roman"/>
                      <w:b/>
                      <w:color w:val="000000"/>
                      <w:sz w:val="20"/>
                      <w:szCs w:val="20"/>
                    </w:rPr>
                    <w:fldChar w:fldCharType="begin"/>
                  </w:r>
                  <w:r>
                    <w:rPr>
                      <w:rFonts w:ascii="Calibri Light" w:hAnsi="Calibri Light" w:cs="Times New Roman"/>
                      <w:b/>
                      <w:color w:val="000000"/>
                      <w:sz w:val="20"/>
                      <w:szCs w:val="20"/>
                    </w:rPr>
                    <w:instrText xml:space="preserve"> =SUM(ABOVE) </w:instrText>
                  </w:r>
                  <w:r>
                    <w:rPr>
                      <w:rFonts w:ascii="Calibri Light" w:hAnsi="Calibri Light" w:cs="Times New Roman"/>
                      <w:b/>
                      <w:color w:val="000000"/>
                      <w:sz w:val="20"/>
                      <w:szCs w:val="20"/>
                    </w:rPr>
                    <w:fldChar w:fldCharType="separate"/>
                  </w:r>
                  <w:r>
                    <w:rPr>
                      <w:rFonts w:ascii="Calibri Light" w:hAnsi="Calibri Light" w:cs="Times New Roman"/>
                      <w:b/>
                      <w:noProof/>
                      <w:color w:val="000000"/>
                      <w:sz w:val="20"/>
                      <w:szCs w:val="20"/>
                    </w:rPr>
                    <w:t>4.013</w:t>
                  </w:r>
                  <w:r>
                    <w:rPr>
                      <w:rFonts w:ascii="Calibri Light" w:hAnsi="Calibri Light" w:cs="Times New Roman"/>
                      <w:b/>
                      <w:color w:val="000000"/>
                      <w:sz w:val="20"/>
                      <w:szCs w:val="20"/>
                    </w:rPr>
                    <w:fldChar w:fldCharType="end"/>
                  </w:r>
                </w:p>
              </w:tc>
            </w:tr>
          </w:tbl>
          <w:p w14:paraId="7BC62055" w14:textId="77777777" w:rsidR="004E6102" w:rsidRPr="00970F0E" w:rsidRDefault="004E6102" w:rsidP="0085514D">
            <w:pPr>
              <w:autoSpaceDE w:val="0"/>
              <w:autoSpaceDN w:val="0"/>
              <w:adjustRightInd w:val="0"/>
              <w:rPr>
                <w:rFonts w:ascii="Calibri Light" w:eastAsia="Calibri" w:hAnsi="Calibri Light"/>
                <w:bCs/>
                <w:color w:val="000000"/>
                <w:szCs w:val="24"/>
                <w:lang w:eastAsia="en-US"/>
              </w:rPr>
            </w:pPr>
          </w:p>
          <w:p w14:paraId="7AD3658B"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
                <w:bCs/>
                <w:color w:val="000000"/>
                <w:szCs w:val="24"/>
                <w:lang w:eastAsia="en-US"/>
              </w:rPr>
              <w:t>The Home Office</w:t>
            </w:r>
            <w:r w:rsidRPr="00970F0E">
              <w:rPr>
                <w:rFonts w:ascii="Calibri Light" w:eastAsia="Calibri" w:hAnsi="Calibri Light"/>
                <w:bCs/>
                <w:color w:val="000000"/>
                <w:szCs w:val="24"/>
                <w:lang w:eastAsia="en-US"/>
              </w:rPr>
              <w:t xml:space="preserve"> has set out guidance for the information to be provided in the PCC's reserve strategy. This guidance requires the classification of reserves held by the PCC as follows:</w:t>
            </w:r>
          </w:p>
          <w:tbl>
            <w:tblPr>
              <w:tblW w:w="0" w:type="auto"/>
              <w:tblLook w:val="04A0" w:firstRow="1" w:lastRow="0" w:firstColumn="1" w:lastColumn="0" w:noHBand="0" w:noVBand="1"/>
            </w:tblPr>
            <w:tblGrid>
              <w:gridCol w:w="7083"/>
              <w:gridCol w:w="999"/>
              <w:gridCol w:w="999"/>
            </w:tblGrid>
            <w:tr w:rsidR="004E6102" w:rsidRPr="00970F0E" w14:paraId="71BC3A6D" w14:textId="77777777" w:rsidTr="00623987">
              <w:trPr>
                <w:trHeight w:val="600"/>
              </w:trPr>
              <w:tc>
                <w:tcPr>
                  <w:tcW w:w="7083" w:type="dxa"/>
                  <w:tcBorders>
                    <w:top w:val="single" w:sz="4" w:space="0" w:color="auto"/>
                    <w:left w:val="single" w:sz="4" w:space="0" w:color="auto"/>
                    <w:bottom w:val="nil"/>
                    <w:right w:val="single" w:sz="4" w:space="0" w:color="auto"/>
                  </w:tcBorders>
                  <w:shd w:val="clear" w:color="auto" w:fill="auto"/>
                  <w:hideMark/>
                </w:tcPr>
                <w:p w14:paraId="1AEB91B1" w14:textId="77777777" w:rsidR="004E6102" w:rsidRPr="0085514D" w:rsidRDefault="004E6102" w:rsidP="004E6102">
                  <w:pPr>
                    <w:rPr>
                      <w:rFonts w:asciiTheme="majorHAnsi" w:hAnsiTheme="majorHAnsi" w:cstheme="majorHAnsi"/>
                      <w:b/>
                      <w:bCs/>
                      <w:color w:val="000000"/>
                      <w:szCs w:val="24"/>
                    </w:rPr>
                  </w:pPr>
                  <w:r w:rsidRPr="0085514D">
                    <w:rPr>
                      <w:rFonts w:asciiTheme="majorHAnsi" w:hAnsiTheme="majorHAnsi" w:cstheme="majorHAnsi"/>
                      <w:b/>
                      <w:bCs/>
                      <w:color w:val="000000"/>
                      <w:szCs w:val="24"/>
                    </w:rPr>
                    <w:t xml:space="preserve">Funding for planned expenditure on projects and programmes over the period of the current medium-term financial plan: </w:t>
                  </w:r>
                </w:p>
              </w:tc>
              <w:tc>
                <w:tcPr>
                  <w:tcW w:w="999" w:type="dxa"/>
                  <w:tcBorders>
                    <w:top w:val="single" w:sz="4" w:space="0" w:color="auto"/>
                    <w:left w:val="nil"/>
                    <w:bottom w:val="nil"/>
                    <w:right w:val="single" w:sz="4" w:space="0" w:color="auto"/>
                  </w:tcBorders>
                </w:tcPr>
                <w:p w14:paraId="5A40E115" w14:textId="504FF426" w:rsidR="004E6102" w:rsidRPr="0085514D" w:rsidRDefault="004E6102" w:rsidP="0085514D">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4</w:t>
                  </w:r>
                </w:p>
              </w:tc>
              <w:tc>
                <w:tcPr>
                  <w:tcW w:w="999" w:type="dxa"/>
                  <w:tcBorders>
                    <w:top w:val="single" w:sz="4" w:space="0" w:color="auto"/>
                    <w:left w:val="single" w:sz="4" w:space="0" w:color="auto"/>
                    <w:bottom w:val="nil"/>
                    <w:right w:val="single" w:sz="4" w:space="0" w:color="auto"/>
                  </w:tcBorders>
                </w:tcPr>
                <w:p w14:paraId="0607BBCC" w14:textId="52018F09" w:rsidR="004E6102" w:rsidRPr="0085514D" w:rsidRDefault="004E6102" w:rsidP="0085514D">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5</w:t>
                  </w:r>
                </w:p>
              </w:tc>
            </w:tr>
            <w:tr w:rsidR="004E6102" w:rsidRPr="00970F0E" w14:paraId="26E535F1" w14:textId="77777777" w:rsidTr="00623987">
              <w:trPr>
                <w:trHeight w:val="300"/>
              </w:trPr>
              <w:tc>
                <w:tcPr>
                  <w:tcW w:w="7083" w:type="dxa"/>
                  <w:tcBorders>
                    <w:top w:val="nil"/>
                    <w:left w:val="single" w:sz="4" w:space="0" w:color="auto"/>
                    <w:bottom w:val="nil"/>
                    <w:right w:val="single" w:sz="4" w:space="0" w:color="auto"/>
                  </w:tcBorders>
                  <w:shd w:val="clear" w:color="auto" w:fill="auto"/>
                  <w:vAlign w:val="center"/>
                  <w:hideMark/>
                </w:tcPr>
                <w:p w14:paraId="5D1A6613" w14:textId="5716F698" w:rsidR="004E6102" w:rsidRPr="0085514D" w:rsidRDefault="004E6102" w:rsidP="004E6102">
                  <w:pPr>
                    <w:rPr>
                      <w:rFonts w:asciiTheme="majorHAnsi" w:hAnsiTheme="majorHAnsi" w:cstheme="majorHAnsi"/>
                      <w:color w:val="000000"/>
                      <w:szCs w:val="24"/>
                    </w:rPr>
                  </w:pPr>
                  <w:r w:rsidRPr="0085514D">
                    <w:rPr>
                      <w:rFonts w:asciiTheme="majorHAnsi" w:hAnsiTheme="majorHAnsi" w:cstheme="majorHAnsi"/>
                      <w:color w:val="000000"/>
                      <w:szCs w:val="24"/>
                    </w:rPr>
                    <w:t xml:space="preserve">Earmarked reserves: </w:t>
                  </w:r>
                </w:p>
              </w:tc>
              <w:tc>
                <w:tcPr>
                  <w:tcW w:w="999" w:type="dxa"/>
                  <w:tcBorders>
                    <w:top w:val="nil"/>
                    <w:left w:val="nil"/>
                    <w:right w:val="single" w:sz="4" w:space="0" w:color="auto"/>
                  </w:tcBorders>
                  <w:noWrap/>
                  <w:vAlign w:val="center"/>
                  <w:hideMark/>
                </w:tcPr>
                <w:p w14:paraId="58CAD81E" w14:textId="77777777" w:rsidR="004E6102" w:rsidRPr="0085514D" w:rsidRDefault="004E6102" w:rsidP="004E6102">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£m</w:t>
                  </w:r>
                </w:p>
              </w:tc>
              <w:tc>
                <w:tcPr>
                  <w:tcW w:w="999" w:type="dxa"/>
                  <w:tcBorders>
                    <w:top w:val="nil"/>
                    <w:left w:val="single" w:sz="4" w:space="0" w:color="auto"/>
                    <w:right w:val="single" w:sz="4" w:space="0" w:color="auto"/>
                  </w:tcBorders>
                  <w:vAlign w:val="center"/>
                </w:tcPr>
                <w:p w14:paraId="78D1E258" w14:textId="77777777" w:rsidR="004E6102" w:rsidRPr="0085514D" w:rsidRDefault="004E6102" w:rsidP="004E6102">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£m</w:t>
                  </w:r>
                </w:p>
              </w:tc>
            </w:tr>
            <w:tr w:rsidR="004E6102" w:rsidRPr="00970F0E" w14:paraId="2386BB32" w14:textId="77777777" w:rsidTr="00623987">
              <w:trPr>
                <w:trHeight w:val="300"/>
              </w:trPr>
              <w:tc>
                <w:tcPr>
                  <w:tcW w:w="7083" w:type="dxa"/>
                  <w:tcBorders>
                    <w:top w:val="nil"/>
                    <w:left w:val="single" w:sz="4" w:space="0" w:color="auto"/>
                    <w:bottom w:val="nil"/>
                    <w:right w:val="single" w:sz="4" w:space="0" w:color="auto"/>
                  </w:tcBorders>
                  <w:shd w:val="clear" w:color="auto" w:fill="auto"/>
                  <w:noWrap/>
                  <w:vAlign w:val="center"/>
                  <w:hideMark/>
                </w:tcPr>
                <w:p w14:paraId="42532EA6" w14:textId="475305EC" w:rsidR="004E6102" w:rsidRPr="0085514D" w:rsidRDefault="004E6102" w:rsidP="004E6102">
                  <w:pPr>
                    <w:rPr>
                      <w:rFonts w:asciiTheme="majorHAnsi" w:hAnsiTheme="majorHAnsi" w:cstheme="majorHAnsi"/>
                      <w:color w:val="000000"/>
                      <w:szCs w:val="24"/>
                    </w:rPr>
                  </w:pPr>
                  <w:r w:rsidRPr="0085514D">
                    <w:rPr>
                      <w:rFonts w:asciiTheme="majorHAnsi" w:hAnsiTheme="majorHAnsi" w:cstheme="majorHAnsi"/>
                      <w:color w:val="000000"/>
                      <w:szCs w:val="24"/>
                    </w:rPr>
                    <w:t xml:space="preserve">Transition reserve </w:t>
                  </w:r>
                </w:p>
              </w:tc>
              <w:tc>
                <w:tcPr>
                  <w:tcW w:w="999" w:type="dxa"/>
                  <w:tcBorders>
                    <w:top w:val="nil"/>
                    <w:left w:val="single" w:sz="4" w:space="0" w:color="auto"/>
                    <w:right w:val="single" w:sz="4" w:space="0" w:color="auto"/>
                  </w:tcBorders>
                  <w:noWrap/>
                  <w:vAlign w:val="center"/>
                </w:tcPr>
                <w:p w14:paraId="0C3176D1" w14:textId="7D6AFA41" w:rsidR="004E6102" w:rsidRPr="0085514D" w:rsidRDefault="002B5FAF" w:rsidP="004E6102">
                  <w:pPr>
                    <w:jc w:val="right"/>
                    <w:rPr>
                      <w:rFonts w:asciiTheme="majorHAnsi" w:hAnsiTheme="majorHAnsi" w:cstheme="majorHAnsi"/>
                      <w:color w:val="000000"/>
                      <w:szCs w:val="24"/>
                    </w:rPr>
                  </w:pPr>
                  <w:r>
                    <w:rPr>
                      <w:rFonts w:asciiTheme="majorHAnsi" w:hAnsiTheme="majorHAnsi" w:cstheme="majorHAnsi"/>
                      <w:color w:val="000000"/>
                      <w:szCs w:val="24"/>
                    </w:rPr>
                    <w:t>4.283</w:t>
                  </w:r>
                </w:p>
              </w:tc>
              <w:tc>
                <w:tcPr>
                  <w:tcW w:w="999" w:type="dxa"/>
                  <w:tcBorders>
                    <w:top w:val="nil"/>
                    <w:left w:val="single" w:sz="4" w:space="0" w:color="auto"/>
                    <w:right w:val="single" w:sz="4" w:space="0" w:color="auto"/>
                  </w:tcBorders>
                  <w:vAlign w:val="center"/>
                </w:tcPr>
                <w:p w14:paraId="60A7E19A" w14:textId="41CDBE7E" w:rsidR="004E6102" w:rsidRPr="0085514D" w:rsidRDefault="00D73509" w:rsidP="004E6102">
                  <w:pPr>
                    <w:jc w:val="right"/>
                    <w:rPr>
                      <w:rFonts w:asciiTheme="majorHAnsi" w:hAnsiTheme="majorHAnsi" w:cstheme="majorHAnsi"/>
                      <w:color w:val="000000"/>
                      <w:szCs w:val="24"/>
                    </w:rPr>
                  </w:pPr>
                  <w:r w:rsidRPr="0085514D">
                    <w:rPr>
                      <w:rFonts w:asciiTheme="majorHAnsi" w:hAnsiTheme="majorHAnsi" w:cstheme="majorHAnsi"/>
                      <w:color w:val="000000"/>
                      <w:szCs w:val="24"/>
                    </w:rPr>
                    <w:t>0</w:t>
                  </w:r>
                </w:p>
              </w:tc>
            </w:tr>
            <w:tr w:rsidR="005207C0" w:rsidRPr="00970F0E" w14:paraId="14ADCB1F" w14:textId="77777777" w:rsidTr="00623987">
              <w:trPr>
                <w:trHeight w:val="300"/>
              </w:trPr>
              <w:tc>
                <w:tcPr>
                  <w:tcW w:w="7083" w:type="dxa"/>
                  <w:tcBorders>
                    <w:top w:val="nil"/>
                    <w:left w:val="single" w:sz="4" w:space="0" w:color="auto"/>
                    <w:bottom w:val="nil"/>
                    <w:right w:val="single" w:sz="4" w:space="0" w:color="auto"/>
                  </w:tcBorders>
                  <w:shd w:val="clear" w:color="auto" w:fill="auto"/>
                  <w:noWrap/>
                  <w:vAlign w:val="center"/>
                </w:tcPr>
                <w:p w14:paraId="1AD9EEF4" w14:textId="023506D0" w:rsidR="005207C0" w:rsidRPr="0085514D" w:rsidRDefault="005207C0" w:rsidP="004E6102">
                  <w:pPr>
                    <w:rPr>
                      <w:rFonts w:asciiTheme="majorHAnsi" w:hAnsiTheme="majorHAnsi" w:cstheme="majorHAnsi"/>
                      <w:color w:val="000000"/>
                      <w:szCs w:val="24"/>
                    </w:rPr>
                  </w:pPr>
                  <w:r w:rsidRPr="0085514D">
                    <w:rPr>
                      <w:rFonts w:asciiTheme="majorHAnsi" w:hAnsiTheme="majorHAnsi" w:cstheme="majorHAnsi"/>
                      <w:color w:val="000000"/>
                      <w:szCs w:val="24"/>
                    </w:rPr>
                    <w:t>Capital Financing reserve</w:t>
                  </w:r>
                </w:p>
              </w:tc>
              <w:tc>
                <w:tcPr>
                  <w:tcW w:w="999" w:type="dxa"/>
                  <w:tcBorders>
                    <w:top w:val="nil"/>
                    <w:left w:val="single" w:sz="4" w:space="0" w:color="auto"/>
                    <w:right w:val="single" w:sz="4" w:space="0" w:color="auto"/>
                  </w:tcBorders>
                  <w:noWrap/>
                  <w:vAlign w:val="center"/>
                </w:tcPr>
                <w:p w14:paraId="35B0BB04" w14:textId="2F7B8A0B" w:rsidR="005207C0" w:rsidRPr="0085514D" w:rsidRDefault="005207C0" w:rsidP="004E6102">
                  <w:pPr>
                    <w:jc w:val="right"/>
                    <w:rPr>
                      <w:rFonts w:asciiTheme="majorHAnsi" w:hAnsiTheme="majorHAnsi" w:cstheme="majorHAnsi"/>
                      <w:color w:val="000000"/>
                      <w:szCs w:val="24"/>
                    </w:rPr>
                  </w:pPr>
                  <w:r w:rsidRPr="0085514D">
                    <w:rPr>
                      <w:rFonts w:asciiTheme="majorHAnsi" w:hAnsiTheme="majorHAnsi" w:cstheme="majorHAnsi"/>
                      <w:color w:val="000000"/>
                      <w:szCs w:val="24"/>
                    </w:rPr>
                    <w:t>0.</w:t>
                  </w:r>
                  <w:r w:rsidR="002B5FAF">
                    <w:rPr>
                      <w:rFonts w:asciiTheme="majorHAnsi" w:hAnsiTheme="majorHAnsi" w:cstheme="majorHAnsi"/>
                      <w:color w:val="000000"/>
                      <w:szCs w:val="24"/>
                    </w:rPr>
                    <w:t>138</w:t>
                  </w:r>
                </w:p>
              </w:tc>
              <w:tc>
                <w:tcPr>
                  <w:tcW w:w="999" w:type="dxa"/>
                  <w:tcBorders>
                    <w:top w:val="nil"/>
                    <w:left w:val="single" w:sz="4" w:space="0" w:color="auto"/>
                    <w:right w:val="single" w:sz="4" w:space="0" w:color="auto"/>
                  </w:tcBorders>
                  <w:vAlign w:val="center"/>
                </w:tcPr>
                <w:p w14:paraId="58036104" w14:textId="5E650ECA" w:rsidR="005207C0" w:rsidRPr="0085514D" w:rsidRDefault="005207C0" w:rsidP="004E6102">
                  <w:pPr>
                    <w:jc w:val="right"/>
                    <w:rPr>
                      <w:rFonts w:asciiTheme="majorHAnsi" w:hAnsiTheme="majorHAnsi" w:cstheme="majorHAnsi"/>
                      <w:color w:val="000000"/>
                      <w:szCs w:val="24"/>
                    </w:rPr>
                  </w:pPr>
                  <w:r w:rsidRPr="0085514D">
                    <w:rPr>
                      <w:rFonts w:asciiTheme="majorHAnsi" w:hAnsiTheme="majorHAnsi" w:cstheme="majorHAnsi"/>
                      <w:color w:val="000000"/>
                      <w:szCs w:val="24"/>
                    </w:rPr>
                    <w:t>0</w:t>
                  </w:r>
                </w:p>
              </w:tc>
            </w:tr>
            <w:tr w:rsidR="004E6102" w:rsidRPr="00970F0E" w14:paraId="1134F09D" w14:textId="77777777" w:rsidTr="00623987">
              <w:trPr>
                <w:trHeight w:val="300"/>
              </w:trPr>
              <w:tc>
                <w:tcPr>
                  <w:tcW w:w="7083" w:type="dxa"/>
                  <w:tcBorders>
                    <w:top w:val="nil"/>
                    <w:left w:val="single" w:sz="4" w:space="0" w:color="auto"/>
                    <w:bottom w:val="nil"/>
                    <w:right w:val="single" w:sz="4" w:space="0" w:color="auto"/>
                  </w:tcBorders>
                  <w:shd w:val="clear" w:color="auto" w:fill="auto"/>
                  <w:noWrap/>
                  <w:vAlign w:val="center"/>
                  <w:hideMark/>
                </w:tcPr>
                <w:p w14:paraId="02C83660" w14:textId="42884E6A" w:rsidR="004E6102" w:rsidRPr="0085514D" w:rsidRDefault="004E6102" w:rsidP="004E6102">
                  <w:pPr>
                    <w:rPr>
                      <w:rFonts w:asciiTheme="majorHAnsi" w:hAnsiTheme="majorHAnsi" w:cstheme="majorHAnsi"/>
                      <w:color w:val="000000"/>
                      <w:szCs w:val="24"/>
                    </w:rPr>
                  </w:pPr>
                  <w:r w:rsidRPr="0085514D">
                    <w:rPr>
                      <w:rFonts w:asciiTheme="majorHAnsi" w:hAnsiTheme="majorHAnsi" w:cstheme="majorHAnsi"/>
                      <w:color w:val="000000"/>
                      <w:szCs w:val="24"/>
                    </w:rPr>
                    <w:t xml:space="preserve">Forensic Partnership Reserve </w:t>
                  </w:r>
                </w:p>
              </w:tc>
              <w:tc>
                <w:tcPr>
                  <w:tcW w:w="999" w:type="dxa"/>
                  <w:tcBorders>
                    <w:left w:val="single" w:sz="4" w:space="0" w:color="auto"/>
                    <w:bottom w:val="single" w:sz="4" w:space="0" w:color="auto"/>
                    <w:right w:val="single" w:sz="4" w:space="0" w:color="auto"/>
                  </w:tcBorders>
                  <w:noWrap/>
                  <w:vAlign w:val="center"/>
                </w:tcPr>
                <w:p w14:paraId="55DA9FBF" w14:textId="038232C9" w:rsidR="004E6102" w:rsidRPr="0085514D" w:rsidRDefault="00D73509" w:rsidP="004E6102">
                  <w:pPr>
                    <w:jc w:val="right"/>
                    <w:rPr>
                      <w:rFonts w:asciiTheme="majorHAnsi" w:hAnsiTheme="majorHAnsi" w:cstheme="majorHAnsi"/>
                      <w:color w:val="000000"/>
                      <w:szCs w:val="24"/>
                    </w:rPr>
                  </w:pPr>
                  <w:r w:rsidRPr="0085514D">
                    <w:rPr>
                      <w:rFonts w:asciiTheme="majorHAnsi" w:hAnsiTheme="majorHAnsi" w:cstheme="majorHAnsi"/>
                      <w:color w:val="000000"/>
                      <w:szCs w:val="24"/>
                    </w:rPr>
                    <w:t>0.</w:t>
                  </w:r>
                  <w:r w:rsidR="002B5FAF">
                    <w:rPr>
                      <w:rFonts w:asciiTheme="majorHAnsi" w:hAnsiTheme="majorHAnsi" w:cstheme="majorHAnsi"/>
                      <w:color w:val="000000"/>
                      <w:szCs w:val="24"/>
                    </w:rPr>
                    <w:t>328</w:t>
                  </w:r>
                </w:p>
              </w:tc>
              <w:tc>
                <w:tcPr>
                  <w:tcW w:w="999" w:type="dxa"/>
                  <w:tcBorders>
                    <w:left w:val="single" w:sz="4" w:space="0" w:color="auto"/>
                    <w:bottom w:val="single" w:sz="4" w:space="0" w:color="auto"/>
                    <w:right w:val="single" w:sz="4" w:space="0" w:color="auto"/>
                  </w:tcBorders>
                  <w:vAlign w:val="center"/>
                </w:tcPr>
                <w:p w14:paraId="3F2F35EF" w14:textId="3E964E72" w:rsidR="004E6102" w:rsidRPr="0085514D" w:rsidRDefault="00D73509" w:rsidP="004E6102">
                  <w:pPr>
                    <w:jc w:val="right"/>
                    <w:rPr>
                      <w:rFonts w:asciiTheme="majorHAnsi" w:hAnsiTheme="majorHAnsi" w:cstheme="majorHAnsi"/>
                      <w:color w:val="000000"/>
                      <w:szCs w:val="24"/>
                    </w:rPr>
                  </w:pPr>
                  <w:r w:rsidRPr="0085514D">
                    <w:rPr>
                      <w:rFonts w:asciiTheme="majorHAnsi" w:hAnsiTheme="majorHAnsi" w:cstheme="majorHAnsi"/>
                      <w:color w:val="000000"/>
                      <w:szCs w:val="24"/>
                    </w:rPr>
                    <w:t>0</w:t>
                  </w:r>
                </w:p>
              </w:tc>
            </w:tr>
            <w:tr w:rsidR="004E6102" w:rsidRPr="00970F0E" w14:paraId="6711A0FD" w14:textId="77777777" w:rsidTr="0062398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36FF61E5" w14:textId="77777777" w:rsidR="004E6102" w:rsidRPr="0085514D" w:rsidRDefault="004E6102" w:rsidP="004E6102">
                  <w:pPr>
                    <w:rPr>
                      <w:rFonts w:asciiTheme="majorHAnsi" w:hAnsiTheme="majorHAnsi" w:cstheme="majorHAnsi"/>
                      <w:color w:val="000000"/>
                      <w:szCs w:val="24"/>
                    </w:rPr>
                  </w:pPr>
                </w:p>
              </w:tc>
              <w:tc>
                <w:tcPr>
                  <w:tcW w:w="999" w:type="dxa"/>
                  <w:tcBorders>
                    <w:top w:val="single" w:sz="4" w:space="0" w:color="auto"/>
                    <w:left w:val="nil"/>
                    <w:bottom w:val="single" w:sz="4" w:space="0" w:color="auto"/>
                    <w:right w:val="single" w:sz="4" w:space="0" w:color="auto"/>
                  </w:tcBorders>
                  <w:noWrap/>
                  <w:vAlign w:val="center"/>
                </w:tcPr>
                <w:p w14:paraId="7E5B6421" w14:textId="6ED58AB7" w:rsidR="004E6102" w:rsidRPr="0085514D" w:rsidRDefault="002B5FAF" w:rsidP="004E6102">
                  <w:pPr>
                    <w:jc w:val="right"/>
                    <w:rPr>
                      <w:rFonts w:asciiTheme="majorHAnsi" w:hAnsiTheme="majorHAnsi" w:cstheme="majorHAnsi"/>
                      <w:b/>
                      <w:bCs/>
                      <w:color w:val="000000"/>
                      <w:szCs w:val="24"/>
                    </w:rPr>
                  </w:pPr>
                  <w:r>
                    <w:rPr>
                      <w:rFonts w:asciiTheme="majorHAnsi" w:hAnsiTheme="majorHAnsi" w:cstheme="majorHAnsi"/>
                      <w:b/>
                      <w:bCs/>
                      <w:color w:val="000000"/>
                      <w:szCs w:val="24"/>
                    </w:rPr>
                    <w:fldChar w:fldCharType="begin"/>
                  </w:r>
                  <w:r>
                    <w:rPr>
                      <w:rFonts w:asciiTheme="majorHAnsi" w:hAnsiTheme="majorHAnsi" w:cstheme="majorHAnsi"/>
                      <w:b/>
                      <w:bCs/>
                      <w:color w:val="000000"/>
                      <w:szCs w:val="24"/>
                    </w:rPr>
                    <w:instrText xml:space="preserve"> =SUM(ABOVE) </w:instrText>
                  </w:r>
                  <w:r>
                    <w:rPr>
                      <w:rFonts w:asciiTheme="majorHAnsi" w:hAnsiTheme="majorHAnsi" w:cstheme="majorHAnsi"/>
                      <w:b/>
                      <w:bCs/>
                      <w:color w:val="000000"/>
                      <w:szCs w:val="24"/>
                    </w:rPr>
                    <w:fldChar w:fldCharType="separate"/>
                  </w:r>
                  <w:r>
                    <w:rPr>
                      <w:rFonts w:asciiTheme="majorHAnsi" w:hAnsiTheme="majorHAnsi" w:cstheme="majorHAnsi"/>
                      <w:b/>
                      <w:bCs/>
                      <w:noProof/>
                      <w:color w:val="000000"/>
                      <w:szCs w:val="24"/>
                    </w:rPr>
                    <w:t>4.749</w:t>
                  </w:r>
                  <w:r>
                    <w:rPr>
                      <w:rFonts w:asciiTheme="majorHAnsi" w:hAnsiTheme="majorHAnsi" w:cstheme="majorHAnsi"/>
                      <w:b/>
                      <w:bCs/>
                      <w:color w:val="000000"/>
                      <w:szCs w:val="24"/>
                    </w:rPr>
                    <w:fldChar w:fldCharType="end"/>
                  </w:r>
                </w:p>
              </w:tc>
              <w:tc>
                <w:tcPr>
                  <w:tcW w:w="999" w:type="dxa"/>
                  <w:tcBorders>
                    <w:top w:val="single" w:sz="4" w:space="0" w:color="auto"/>
                    <w:left w:val="nil"/>
                    <w:bottom w:val="single" w:sz="4" w:space="0" w:color="auto"/>
                    <w:right w:val="single" w:sz="4" w:space="0" w:color="auto"/>
                  </w:tcBorders>
                  <w:vAlign w:val="center"/>
                </w:tcPr>
                <w:p w14:paraId="131D534E" w14:textId="2EB1CA8B" w:rsidR="004E6102" w:rsidRPr="0085514D" w:rsidRDefault="00D73509" w:rsidP="004E6102">
                  <w:pPr>
                    <w:jc w:val="right"/>
                    <w:rPr>
                      <w:rFonts w:asciiTheme="majorHAnsi" w:hAnsiTheme="majorHAnsi" w:cstheme="majorHAnsi"/>
                      <w:b/>
                      <w:bCs/>
                      <w:color w:val="000000"/>
                      <w:szCs w:val="24"/>
                    </w:rPr>
                  </w:pPr>
                  <w:r w:rsidRPr="0085514D">
                    <w:rPr>
                      <w:rFonts w:asciiTheme="majorHAnsi" w:hAnsiTheme="majorHAnsi" w:cstheme="majorHAnsi"/>
                      <w:b/>
                      <w:bCs/>
                      <w:color w:val="000000"/>
                      <w:szCs w:val="24"/>
                    </w:rPr>
                    <w:t>0</w:t>
                  </w:r>
                </w:p>
              </w:tc>
            </w:tr>
            <w:tr w:rsidR="004E6102" w:rsidRPr="00970F0E" w14:paraId="407957BC" w14:textId="77777777" w:rsidTr="00623987">
              <w:trPr>
                <w:trHeight w:val="60"/>
              </w:trPr>
              <w:tc>
                <w:tcPr>
                  <w:tcW w:w="7083" w:type="dxa"/>
                  <w:tcBorders>
                    <w:top w:val="single" w:sz="4" w:space="0" w:color="auto"/>
                    <w:left w:val="nil"/>
                    <w:bottom w:val="single" w:sz="4" w:space="0" w:color="auto"/>
                  </w:tcBorders>
                  <w:shd w:val="clear" w:color="auto" w:fill="auto"/>
                  <w:noWrap/>
                  <w:vAlign w:val="bottom"/>
                  <w:hideMark/>
                </w:tcPr>
                <w:p w14:paraId="2A59F8F5" w14:textId="77777777" w:rsidR="004E6102" w:rsidRPr="0085514D" w:rsidRDefault="004E6102" w:rsidP="004E6102">
                  <w:pPr>
                    <w:rPr>
                      <w:rFonts w:asciiTheme="majorHAnsi" w:hAnsiTheme="majorHAnsi" w:cstheme="majorHAnsi"/>
                      <w:b/>
                      <w:bCs/>
                      <w:color w:val="000000"/>
                      <w:sz w:val="8"/>
                      <w:szCs w:val="8"/>
                    </w:rPr>
                  </w:pPr>
                </w:p>
              </w:tc>
              <w:tc>
                <w:tcPr>
                  <w:tcW w:w="999" w:type="dxa"/>
                  <w:tcBorders>
                    <w:top w:val="single" w:sz="4" w:space="0" w:color="auto"/>
                    <w:bottom w:val="single" w:sz="4" w:space="0" w:color="auto"/>
                    <w:right w:val="nil"/>
                  </w:tcBorders>
                  <w:shd w:val="clear" w:color="auto" w:fill="auto"/>
                  <w:noWrap/>
                  <w:vAlign w:val="bottom"/>
                  <w:hideMark/>
                </w:tcPr>
                <w:p w14:paraId="58B089D2" w14:textId="77777777" w:rsidR="004E6102" w:rsidRPr="0085514D" w:rsidRDefault="004E6102" w:rsidP="004E6102">
                  <w:pPr>
                    <w:rPr>
                      <w:rFonts w:asciiTheme="majorHAnsi" w:hAnsiTheme="majorHAnsi" w:cstheme="majorHAnsi"/>
                      <w:sz w:val="8"/>
                      <w:szCs w:val="8"/>
                    </w:rPr>
                  </w:pPr>
                </w:p>
              </w:tc>
              <w:tc>
                <w:tcPr>
                  <w:tcW w:w="999" w:type="dxa"/>
                  <w:tcBorders>
                    <w:top w:val="single" w:sz="4" w:space="0" w:color="auto"/>
                    <w:left w:val="nil"/>
                    <w:bottom w:val="single" w:sz="4" w:space="0" w:color="auto"/>
                    <w:right w:val="nil"/>
                  </w:tcBorders>
                </w:tcPr>
                <w:p w14:paraId="07A42DAF" w14:textId="77777777" w:rsidR="004E6102" w:rsidRPr="0085514D" w:rsidRDefault="004E6102" w:rsidP="004E6102">
                  <w:pPr>
                    <w:rPr>
                      <w:rFonts w:asciiTheme="majorHAnsi" w:hAnsiTheme="majorHAnsi" w:cstheme="majorHAnsi"/>
                      <w:sz w:val="8"/>
                      <w:szCs w:val="8"/>
                    </w:rPr>
                  </w:pPr>
                </w:p>
              </w:tc>
            </w:tr>
            <w:tr w:rsidR="005207C0" w:rsidRPr="00970F0E" w14:paraId="2AEC4565" w14:textId="77777777" w:rsidTr="00623987">
              <w:trPr>
                <w:trHeight w:val="300"/>
              </w:trPr>
              <w:tc>
                <w:tcPr>
                  <w:tcW w:w="7083" w:type="dxa"/>
                  <w:tcBorders>
                    <w:top w:val="single" w:sz="4" w:space="0" w:color="auto"/>
                    <w:left w:val="single" w:sz="4" w:space="0" w:color="auto"/>
                    <w:right w:val="single" w:sz="4" w:space="0" w:color="auto"/>
                  </w:tcBorders>
                  <w:shd w:val="clear" w:color="auto" w:fill="auto"/>
                  <w:noWrap/>
                  <w:vAlign w:val="bottom"/>
                </w:tcPr>
                <w:p w14:paraId="0A2793E1" w14:textId="77777777" w:rsidR="005207C0" w:rsidRPr="0085514D" w:rsidRDefault="005207C0" w:rsidP="005207C0">
                  <w:pPr>
                    <w:rPr>
                      <w:rFonts w:asciiTheme="majorHAnsi" w:hAnsiTheme="majorHAnsi" w:cstheme="majorHAnsi"/>
                      <w:szCs w:val="24"/>
                    </w:rPr>
                  </w:pPr>
                  <w:r w:rsidRPr="0085514D">
                    <w:rPr>
                      <w:rFonts w:asciiTheme="majorHAnsi" w:hAnsiTheme="majorHAnsi" w:cstheme="majorHAnsi"/>
                      <w:b/>
                      <w:bCs/>
                      <w:color w:val="000000"/>
                      <w:szCs w:val="24"/>
                    </w:rPr>
                    <w:t>Funding for planned expenditure on projects and programmes beyond the period of the current medium-term financial plan:</w:t>
                  </w:r>
                </w:p>
              </w:tc>
              <w:tc>
                <w:tcPr>
                  <w:tcW w:w="999" w:type="dxa"/>
                  <w:tcBorders>
                    <w:top w:val="single" w:sz="4" w:space="0" w:color="auto"/>
                    <w:left w:val="nil"/>
                    <w:bottom w:val="nil"/>
                    <w:right w:val="single" w:sz="4" w:space="0" w:color="auto"/>
                  </w:tcBorders>
                </w:tcPr>
                <w:p w14:paraId="2B60C447" w14:textId="49384812" w:rsidR="005207C0" w:rsidRPr="0085514D" w:rsidRDefault="005207C0" w:rsidP="0085514D">
                  <w:pPr>
                    <w:jc w:val="center"/>
                    <w:rPr>
                      <w:rFonts w:asciiTheme="majorHAnsi" w:hAnsiTheme="majorHAnsi" w:cstheme="majorHAnsi"/>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4</w:t>
                  </w:r>
                </w:p>
              </w:tc>
              <w:tc>
                <w:tcPr>
                  <w:tcW w:w="999" w:type="dxa"/>
                  <w:tcBorders>
                    <w:top w:val="single" w:sz="4" w:space="0" w:color="auto"/>
                    <w:left w:val="single" w:sz="4" w:space="0" w:color="auto"/>
                    <w:bottom w:val="nil"/>
                    <w:right w:val="single" w:sz="4" w:space="0" w:color="auto"/>
                  </w:tcBorders>
                </w:tcPr>
                <w:p w14:paraId="3A56B1B5" w14:textId="028E0BA5" w:rsidR="005207C0" w:rsidRPr="0085514D" w:rsidRDefault="005207C0" w:rsidP="0085514D">
                  <w:pPr>
                    <w:jc w:val="center"/>
                    <w:rPr>
                      <w:rFonts w:asciiTheme="majorHAnsi" w:hAnsiTheme="majorHAnsi" w:cstheme="majorHAnsi"/>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5</w:t>
                  </w:r>
                </w:p>
              </w:tc>
            </w:tr>
            <w:tr w:rsidR="005207C0" w:rsidRPr="00970F0E" w14:paraId="3093A2E4" w14:textId="77777777" w:rsidTr="00623987">
              <w:trPr>
                <w:trHeight w:val="300"/>
              </w:trPr>
              <w:tc>
                <w:tcPr>
                  <w:tcW w:w="7083" w:type="dxa"/>
                  <w:tcBorders>
                    <w:top w:val="nil"/>
                    <w:left w:val="single" w:sz="4" w:space="0" w:color="auto"/>
                    <w:bottom w:val="nil"/>
                    <w:right w:val="single" w:sz="4" w:space="0" w:color="auto"/>
                  </w:tcBorders>
                  <w:shd w:val="clear" w:color="auto" w:fill="auto"/>
                  <w:noWrap/>
                  <w:vAlign w:val="center"/>
                </w:tcPr>
                <w:p w14:paraId="452F08F6" w14:textId="4C542C46" w:rsidR="005207C0" w:rsidRPr="0085514D" w:rsidRDefault="005207C0" w:rsidP="005207C0">
                  <w:pPr>
                    <w:rPr>
                      <w:rFonts w:asciiTheme="majorHAnsi" w:hAnsiTheme="majorHAnsi" w:cstheme="majorHAnsi"/>
                      <w:color w:val="000000"/>
                      <w:szCs w:val="24"/>
                    </w:rPr>
                  </w:pPr>
                </w:p>
              </w:tc>
              <w:tc>
                <w:tcPr>
                  <w:tcW w:w="999" w:type="dxa"/>
                  <w:tcBorders>
                    <w:top w:val="nil"/>
                    <w:left w:val="nil"/>
                    <w:bottom w:val="nil"/>
                    <w:right w:val="single" w:sz="4" w:space="0" w:color="auto"/>
                  </w:tcBorders>
                  <w:noWrap/>
                  <w:vAlign w:val="center"/>
                </w:tcPr>
                <w:p w14:paraId="387793F8" w14:textId="77777777" w:rsidR="005207C0" w:rsidRPr="0085514D" w:rsidRDefault="005207C0" w:rsidP="005207C0">
                  <w:pPr>
                    <w:jc w:val="center"/>
                    <w:rPr>
                      <w:rFonts w:asciiTheme="majorHAnsi" w:hAnsiTheme="majorHAnsi" w:cstheme="majorHAnsi"/>
                      <w:szCs w:val="24"/>
                    </w:rPr>
                  </w:pPr>
                  <w:r w:rsidRPr="0085514D">
                    <w:rPr>
                      <w:rFonts w:asciiTheme="majorHAnsi" w:hAnsiTheme="majorHAnsi" w:cstheme="majorHAnsi"/>
                      <w:b/>
                      <w:color w:val="000000"/>
                      <w:szCs w:val="24"/>
                    </w:rPr>
                    <w:t>£m</w:t>
                  </w:r>
                </w:p>
              </w:tc>
              <w:tc>
                <w:tcPr>
                  <w:tcW w:w="999" w:type="dxa"/>
                  <w:tcBorders>
                    <w:top w:val="nil"/>
                    <w:left w:val="single" w:sz="4" w:space="0" w:color="auto"/>
                    <w:bottom w:val="nil"/>
                    <w:right w:val="single" w:sz="4" w:space="0" w:color="auto"/>
                  </w:tcBorders>
                  <w:vAlign w:val="center"/>
                </w:tcPr>
                <w:p w14:paraId="5E745953" w14:textId="77777777" w:rsidR="005207C0" w:rsidRPr="0085514D" w:rsidRDefault="005207C0" w:rsidP="005207C0">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£m</w:t>
                  </w:r>
                </w:p>
              </w:tc>
            </w:tr>
            <w:tr w:rsidR="005207C0" w:rsidRPr="00970F0E" w14:paraId="353D0D41" w14:textId="77777777" w:rsidTr="00623987">
              <w:trPr>
                <w:trHeight w:val="503"/>
              </w:trPr>
              <w:tc>
                <w:tcPr>
                  <w:tcW w:w="7083" w:type="dxa"/>
                  <w:tcBorders>
                    <w:left w:val="single" w:sz="4" w:space="0" w:color="auto"/>
                    <w:bottom w:val="single" w:sz="4" w:space="0" w:color="auto"/>
                    <w:right w:val="single" w:sz="4" w:space="0" w:color="auto"/>
                  </w:tcBorders>
                  <w:shd w:val="clear" w:color="auto" w:fill="auto"/>
                  <w:noWrap/>
                  <w:vAlign w:val="center"/>
                </w:tcPr>
                <w:p w14:paraId="2ADCC139" w14:textId="54335E6F" w:rsidR="005207C0" w:rsidRPr="0085514D" w:rsidRDefault="0085514D" w:rsidP="005207C0">
                  <w:pPr>
                    <w:rPr>
                      <w:rFonts w:asciiTheme="majorHAnsi" w:hAnsiTheme="majorHAnsi" w:cstheme="majorHAnsi"/>
                      <w:b/>
                      <w:bCs/>
                      <w:color w:val="000000"/>
                      <w:szCs w:val="24"/>
                    </w:rPr>
                  </w:pPr>
                  <w:r w:rsidRPr="0085514D">
                    <w:rPr>
                      <w:rFonts w:asciiTheme="majorHAnsi" w:hAnsiTheme="majorHAnsi" w:cstheme="majorHAnsi"/>
                      <w:color w:val="000000"/>
                      <w:szCs w:val="24"/>
                    </w:rPr>
                    <w:t>Earmarked reserves</w:t>
                  </w:r>
                </w:p>
              </w:tc>
              <w:tc>
                <w:tcPr>
                  <w:tcW w:w="999" w:type="dxa"/>
                  <w:tcBorders>
                    <w:left w:val="single" w:sz="4" w:space="0" w:color="auto"/>
                    <w:bottom w:val="single" w:sz="4" w:space="0" w:color="auto"/>
                    <w:right w:val="single" w:sz="4" w:space="0" w:color="auto"/>
                  </w:tcBorders>
                  <w:shd w:val="clear" w:color="auto" w:fill="auto"/>
                  <w:noWrap/>
                  <w:vAlign w:val="center"/>
                </w:tcPr>
                <w:p w14:paraId="71ED6A9E" w14:textId="77777777" w:rsidR="005207C0" w:rsidRPr="0085514D" w:rsidRDefault="005207C0" w:rsidP="005207C0">
                  <w:pPr>
                    <w:jc w:val="right"/>
                    <w:rPr>
                      <w:rFonts w:asciiTheme="majorHAnsi" w:hAnsiTheme="majorHAnsi" w:cstheme="majorHAnsi"/>
                      <w:szCs w:val="24"/>
                    </w:rPr>
                  </w:pPr>
                  <w:r w:rsidRPr="0085514D">
                    <w:rPr>
                      <w:rFonts w:asciiTheme="majorHAnsi" w:hAnsiTheme="majorHAnsi" w:cstheme="majorHAnsi"/>
                      <w:szCs w:val="24"/>
                    </w:rPr>
                    <w:t>nil</w:t>
                  </w:r>
                </w:p>
              </w:tc>
              <w:tc>
                <w:tcPr>
                  <w:tcW w:w="999" w:type="dxa"/>
                  <w:tcBorders>
                    <w:left w:val="nil"/>
                    <w:bottom w:val="single" w:sz="4" w:space="0" w:color="auto"/>
                    <w:right w:val="single" w:sz="4" w:space="0" w:color="auto"/>
                  </w:tcBorders>
                  <w:vAlign w:val="center"/>
                </w:tcPr>
                <w:p w14:paraId="3C20111B" w14:textId="77777777" w:rsidR="005207C0" w:rsidRPr="0085514D" w:rsidRDefault="005207C0" w:rsidP="005207C0">
                  <w:pPr>
                    <w:jc w:val="right"/>
                    <w:rPr>
                      <w:rFonts w:asciiTheme="majorHAnsi" w:hAnsiTheme="majorHAnsi" w:cstheme="majorHAnsi"/>
                      <w:szCs w:val="24"/>
                    </w:rPr>
                  </w:pPr>
                  <w:r w:rsidRPr="0085514D">
                    <w:rPr>
                      <w:rFonts w:asciiTheme="majorHAnsi" w:hAnsiTheme="majorHAnsi" w:cstheme="majorHAnsi"/>
                      <w:szCs w:val="24"/>
                    </w:rPr>
                    <w:t>nil</w:t>
                  </w:r>
                </w:p>
              </w:tc>
            </w:tr>
            <w:tr w:rsidR="005207C0" w:rsidRPr="00970F0E" w14:paraId="0434D6A9" w14:textId="77777777" w:rsidTr="00623987">
              <w:trPr>
                <w:trHeight w:val="60"/>
              </w:trPr>
              <w:tc>
                <w:tcPr>
                  <w:tcW w:w="7083" w:type="dxa"/>
                  <w:tcBorders>
                    <w:top w:val="single" w:sz="4" w:space="0" w:color="auto"/>
                    <w:left w:val="nil"/>
                    <w:bottom w:val="single" w:sz="4" w:space="0" w:color="auto"/>
                  </w:tcBorders>
                  <w:shd w:val="clear" w:color="auto" w:fill="auto"/>
                  <w:noWrap/>
                  <w:vAlign w:val="bottom"/>
                </w:tcPr>
                <w:p w14:paraId="0232454B" w14:textId="77777777" w:rsidR="005207C0" w:rsidRPr="0085514D" w:rsidRDefault="005207C0" w:rsidP="005207C0">
                  <w:pPr>
                    <w:rPr>
                      <w:rFonts w:asciiTheme="majorHAnsi" w:hAnsiTheme="majorHAnsi" w:cstheme="majorHAnsi"/>
                      <w:b/>
                      <w:bCs/>
                      <w:color w:val="000000"/>
                      <w:sz w:val="8"/>
                      <w:szCs w:val="8"/>
                    </w:rPr>
                  </w:pPr>
                </w:p>
              </w:tc>
              <w:tc>
                <w:tcPr>
                  <w:tcW w:w="999" w:type="dxa"/>
                  <w:tcBorders>
                    <w:top w:val="single" w:sz="4" w:space="0" w:color="auto"/>
                    <w:bottom w:val="single" w:sz="4" w:space="0" w:color="auto"/>
                    <w:right w:val="nil"/>
                  </w:tcBorders>
                  <w:shd w:val="clear" w:color="auto" w:fill="auto"/>
                  <w:noWrap/>
                  <w:vAlign w:val="center"/>
                </w:tcPr>
                <w:p w14:paraId="5D98F715" w14:textId="77777777" w:rsidR="005207C0" w:rsidRPr="0085514D" w:rsidRDefault="005207C0" w:rsidP="005207C0">
                  <w:pPr>
                    <w:jc w:val="right"/>
                    <w:rPr>
                      <w:rFonts w:asciiTheme="majorHAnsi" w:hAnsiTheme="majorHAnsi" w:cstheme="majorHAnsi"/>
                      <w:sz w:val="8"/>
                      <w:szCs w:val="8"/>
                    </w:rPr>
                  </w:pPr>
                </w:p>
              </w:tc>
              <w:tc>
                <w:tcPr>
                  <w:tcW w:w="999" w:type="dxa"/>
                  <w:tcBorders>
                    <w:top w:val="single" w:sz="4" w:space="0" w:color="auto"/>
                    <w:left w:val="nil"/>
                    <w:bottom w:val="single" w:sz="4" w:space="0" w:color="auto"/>
                    <w:right w:val="nil"/>
                  </w:tcBorders>
                </w:tcPr>
                <w:p w14:paraId="504BBA3F" w14:textId="77777777" w:rsidR="005207C0" w:rsidRPr="0085514D" w:rsidRDefault="005207C0" w:rsidP="005207C0">
                  <w:pPr>
                    <w:jc w:val="right"/>
                    <w:rPr>
                      <w:rFonts w:asciiTheme="majorHAnsi" w:hAnsiTheme="majorHAnsi" w:cstheme="majorHAnsi"/>
                      <w:sz w:val="8"/>
                      <w:szCs w:val="8"/>
                    </w:rPr>
                  </w:pPr>
                </w:p>
              </w:tc>
            </w:tr>
            <w:tr w:rsidR="005207C0" w:rsidRPr="00970F0E" w14:paraId="1FA733AA" w14:textId="77777777" w:rsidTr="00623987">
              <w:trPr>
                <w:trHeight w:val="600"/>
              </w:trPr>
              <w:tc>
                <w:tcPr>
                  <w:tcW w:w="7083" w:type="dxa"/>
                  <w:tcBorders>
                    <w:top w:val="single" w:sz="4" w:space="0" w:color="auto"/>
                    <w:left w:val="single" w:sz="4" w:space="0" w:color="auto"/>
                    <w:bottom w:val="nil"/>
                    <w:right w:val="single" w:sz="4" w:space="0" w:color="auto"/>
                  </w:tcBorders>
                  <w:shd w:val="clear" w:color="auto" w:fill="auto"/>
                  <w:hideMark/>
                </w:tcPr>
                <w:p w14:paraId="7A1BC7B7" w14:textId="4B3ED1B9" w:rsidR="005207C0" w:rsidRPr="0085514D" w:rsidRDefault="005207C0" w:rsidP="005207C0">
                  <w:pPr>
                    <w:rPr>
                      <w:rFonts w:asciiTheme="majorHAnsi" w:hAnsiTheme="majorHAnsi" w:cstheme="majorHAnsi"/>
                      <w:b/>
                      <w:bCs/>
                      <w:color w:val="000000"/>
                      <w:szCs w:val="24"/>
                    </w:rPr>
                  </w:pPr>
                  <w:r w:rsidRPr="0085514D">
                    <w:rPr>
                      <w:rFonts w:asciiTheme="majorHAnsi" w:hAnsiTheme="majorHAnsi" w:cstheme="majorHAnsi"/>
                      <w:b/>
                      <w:bCs/>
                      <w:color w:val="000000"/>
                      <w:szCs w:val="24"/>
                    </w:rPr>
                    <w:t xml:space="preserve">Resource to meet other expenditure needs in accordance with sound principles of good financial management </w:t>
                  </w:r>
                </w:p>
              </w:tc>
              <w:tc>
                <w:tcPr>
                  <w:tcW w:w="999" w:type="dxa"/>
                  <w:tcBorders>
                    <w:top w:val="single" w:sz="4" w:space="0" w:color="auto"/>
                    <w:left w:val="nil"/>
                    <w:bottom w:val="nil"/>
                    <w:right w:val="single" w:sz="4" w:space="0" w:color="auto"/>
                  </w:tcBorders>
                </w:tcPr>
                <w:p w14:paraId="16C9ABC6" w14:textId="1A6F37B6" w:rsidR="005207C0" w:rsidRPr="0085514D" w:rsidRDefault="005207C0" w:rsidP="0085514D">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4</w:t>
                  </w:r>
                </w:p>
              </w:tc>
              <w:tc>
                <w:tcPr>
                  <w:tcW w:w="999" w:type="dxa"/>
                  <w:tcBorders>
                    <w:top w:val="single" w:sz="4" w:space="0" w:color="auto"/>
                    <w:left w:val="single" w:sz="4" w:space="0" w:color="auto"/>
                    <w:bottom w:val="nil"/>
                    <w:right w:val="single" w:sz="4" w:space="0" w:color="auto"/>
                  </w:tcBorders>
                </w:tcPr>
                <w:p w14:paraId="51CF7ACF" w14:textId="50BC9829" w:rsidR="005207C0" w:rsidRPr="0085514D" w:rsidRDefault="005207C0" w:rsidP="0085514D">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sidR="00623987">
                    <w:rPr>
                      <w:rFonts w:asciiTheme="majorHAnsi" w:hAnsiTheme="majorHAnsi" w:cstheme="majorHAnsi"/>
                      <w:b/>
                      <w:color w:val="000000"/>
                      <w:szCs w:val="24"/>
                    </w:rPr>
                    <w:t>5</w:t>
                  </w:r>
                </w:p>
              </w:tc>
            </w:tr>
            <w:tr w:rsidR="005207C0" w:rsidRPr="00970F0E" w14:paraId="3ACBCFDA" w14:textId="77777777" w:rsidTr="00C30C3B">
              <w:trPr>
                <w:trHeight w:val="300"/>
              </w:trPr>
              <w:tc>
                <w:tcPr>
                  <w:tcW w:w="7083" w:type="dxa"/>
                  <w:tcBorders>
                    <w:top w:val="nil"/>
                    <w:left w:val="single" w:sz="4" w:space="0" w:color="auto"/>
                    <w:right w:val="single" w:sz="4" w:space="0" w:color="auto"/>
                  </w:tcBorders>
                  <w:shd w:val="clear" w:color="auto" w:fill="auto"/>
                  <w:hideMark/>
                </w:tcPr>
                <w:p w14:paraId="6C75B9C7" w14:textId="1DC93FB1" w:rsidR="005207C0" w:rsidRPr="0085514D" w:rsidRDefault="005207C0" w:rsidP="005207C0">
                  <w:pPr>
                    <w:rPr>
                      <w:rFonts w:asciiTheme="majorHAnsi" w:hAnsiTheme="majorHAnsi" w:cstheme="majorHAnsi"/>
                      <w:color w:val="000000"/>
                      <w:szCs w:val="24"/>
                    </w:rPr>
                  </w:pPr>
                  <w:r w:rsidRPr="0085514D">
                    <w:rPr>
                      <w:rFonts w:asciiTheme="majorHAnsi" w:hAnsiTheme="majorHAnsi" w:cstheme="majorHAnsi"/>
                      <w:color w:val="000000"/>
                      <w:szCs w:val="24"/>
                    </w:rPr>
                    <w:t xml:space="preserve">Earmarked reserves: </w:t>
                  </w:r>
                </w:p>
              </w:tc>
              <w:tc>
                <w:tcPr>
                  <w:tcW w:w="999" w:type="dxa"/>
                  <w:tcBorders>
                    <w:top w:val="nil"/>
                    <w:left w:val="nil"/>
                    <w:right w:val="single" w:sz="4" w:space="0" w:color="auto"/>
                  </w:tcBorders>
                  <w:noWrap/>
                  <w:vAlign w:val="center"/>
                  <w:hideMark/>
                </w:tcPr>
                <w:p w14:paraId="7B64E9E5" w14:textId="77777777" w:rsidR="005207C0" w:rsidRPr="0085514D" w:rsidRDefault="005207C0" w:rsidP="005207C0">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£m</w:t>
                  </w:r>
                </w:p>
              </w:tc>
              <w:tc>
                <w:tcPr>
                  <w:tcW w:w="999" w:type="dxa"/>
                  <w:tcBorders>
                    <w:top w:val="nil"/>
                    <w:left w:val="single" w:sz="4" w:space="0" w:color="auto"/>
                    <w:right w:val="single" w:sz="4" w:space="0" w:color="auto"/>
                  </w:tcBorders>
                  <w:vAlign w:val="center"/>
                </w:tcPr>
                <w:p w14:paraId="696DF7E4" w14:textId="77777777" w:rsidR="005207C0" w:rsidRPr="0085514D" w:rsidRDefault="005207C0" w:rsidP="005207C0">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£m</w:t>
                  </w:r>
                </w:p>
              </w:tc>
            </w:tr>
            <w:tr w:rsidR="00C30C3B" w:rsidRPr="00970F0E" w14:paraId="055F4E03"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hideMark/>
                </w:tcPr>
                <w:p w14:paraId="37F1B8DC" w14:textId="099399D1"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Capital financing reserve</w:t>
                  </w:r>
                </w:p>
              </w:tc>
              <w:tc>
                <w:tcPr>
                  <w:tcW w:w="999" w:type="dxa"/>
                  <w:tcBorders>
                    <w:left w:val="single" w:sz="4" w:space="0" w:color="auto"/>
                  </w:tcBorders>
                  <w:noWrap/>
                  <w:vAlign w:val="center"/>
                </w:tcPr>
                <w:p w14:paraId="4F4DA185" w14:textId="4D300927"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0.138</w:t>
                  </w:r>
                </w:p>
              </w:tc>
              <w:tc>
                <w:tcPr>
                  <w:tcW w:w="999" w:type="dxa"/>
                  <w:tcBorders>
                    <w:left w:val="single" w:sz="4" w:space="0" w:color="auto"/>
                    <w:right w:val="single" w:sz="4" w:space="0" w:color="auto"/>
                  </w:tcBorders>
                  <w:vAlign w:val="center"/>
                </w:tcPr>
                <w:p w14:paraId="703A3DBC" w14:textId="1A993890"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0.138</w:t>
                  </w:r>
                </w:p>
              </w:tc>
            </w:tr>
            <w:tr w:rsidR="00C30C3B" w:rsidRPr="00970F0E" w14:paraId="3B07CB80"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hideMark/>
                </w:tcPr>
                <w:p w14:paraId="34406E2E" w14:textId="290BD7EF"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Employee/Public liability reserves</w:t>
                  </w:r>
                </w:p>
              </w:tc>
              <w:tc>
                <w:tcPr>
                  <w:tcW w:w="999" w:type="dxa"/>
                  <w:tcBorders>
                    <w:left w:val="single" w:sz="4" w:space="0" w:color="auto"/>
                  </w:tcBorders>
                  <w:noWrap/>
                  <w:vAlign w:val="center"/>
                </w:tcPr>
                <w:p w14:paraId="26CFB12E" w14:textId="006BF038"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0.685</w:t>
                  </w:r>
                </w:p>
              </w:tc>
              <w:tc>
                <w:tcPr>
                  <w:tcW w:w="999" w:type="dxa"/>
                  <w:tcBorders>
                    <w:left w:val="single" w:sz="4" w:space="0" w:color="auto"/>
                    <w:right w:val="single" w:sz="4" w:space="0" w:color="auto"/>
                  </w:tcBorders>
                  <w:vAlign w:val="center"/>
                </w:tcPr>
                <w:p w14:paraId="08CCFCB8" w14:textId="5976EFE5"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0.685</w:t>
                  </w:r>
                </w:p>
              </w:tc>
            </w:tr>
            <w:tr w:rsidR="00C30C3B" w:rsidRPr="00970F0E" w14:paraId="3F697311"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hideMark/>
                </w:tcPr>
                <w:p w14:paraId="3516D13B" w14:textId="12CF8232"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Protective Clothing Reserve</w:t>
                  </w:r>
                </w:p>
              </w:tc>
              <w:tc>
                <w:tcPr>
                  <w:tcW w:w="999" w:type="dxa"/>
                  <w:tcBorders>
                    <w:left w:val="single" w:sz="4" w:space="0" w:color="auto"/>
                  </w:tcBorders>
                  <w:noWrap/>
                  <w:vAlign w:val="center"/>
                </w:tcPr>
                <w:p w14:paraId="47659535" w14:textId="2A42DD0A"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0.719</w:t>
                  </w:r>
                </w:p>
              </w:tc>
              <w:tc>
                <w:tcPr>
                  <w:tcW w:w="999" w:type="dxa"/>
                  <w:tcBorders>
                    <w:left w:val="single" w:sz="4" w:space="0" w:color="auto"/>
                    <w:right w:val="single" w:sz="4" w:space="0" w:color="auto"/>
                  </w:tcBorders>
                  <w:vAlign w:val="center"/>
                </w:tcPr>
                <w:p w14:paraId="1F19E4C1" w14:textId="31712A3C"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0.669</w:t>
                  </w:r>
                </w:p>
              </w:tc>
            </w:tr>
            <w:tr w:rsidR="00C30C3B" w:rsidRPr="00970F0E" w14:paraId="2AD012FD"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tcPr>
                <w:p w14:paraId="4B6242FE" w14:textId="68B36CB6"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Vehicle Workshop Reserve</w:t>
                  </w:r>
                </w:p>
              </w:tc>
              <w:tc>
                <w:tcPr>
                  <w:tcW w:w="999" w:type="dxa"/>
                  <w:tcBorders>
                    <w:left w:val="single" w:sz="4" w:space="0" w:color="auto"/>
                  </w:tcBorders>
                  <w:noWrap/>
                  <w:vAlign w:val="center"/>
                </w:tcPr>
                <w:p w14:paraId="13B0DFC5" w14:textId="7BD5746C"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0.008</w:t>
                  </w:r>
                </w:p>
              </w:tc>
              <w:tc>
                <w:tcPr>
                  <w:tcW w:w="999" w:type="dxa"/>
                  <w:tcBorders>
                    <w:left w:val="single" w:sz="4" w:space="0" w:color="auto"/>
                    <w:right w:val="single" w:sz="4" w:space="0" w:color="auto"/>
                  </w:tcBorders>
                  <w:vAlign w:val="center"/>
                </w:tcPr>
                <w:p w14:paraId="038545B6" w14:textId="5D3D6AF2"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0.008</w:t>
                  </w:r>
                </w:p>
              </w:tc>
            </w:tr>
            <w:tr w:rsidR="00C30C3B" w:rsidRPr="00970F0E" w14:paraId="0DCE561F"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tcPr>
                <w:p w14:paraId="0B752C69" w14:textId="2F7E7AB5"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Operational Policing Reserve</w:t>
                  </w:r>
                </w:p>
              </w:tc>
              <w:tc>
                <w:tcPr>
                  <w:tcW w:w="999" w:type="dxa"/>
                  <w:tcBorders>
                    <w:left w:val="single" w:sz="4" w:space="0" w:color="auto"/>
                  </w:tcBorders>
                  <w:noWrap/>
                  <w:vAlign w:val="center"/>
                </w:tcPr>
                <w:p w14:paraId="293569F9" w14:textId="2829F336"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1.691</w:t>
                  </w:r>
                </w:p>
              </w:tc>
              <w:tc>
                <w:tcPr>
                  <w:tcW w:w="999" w:type="dxa"/>
                  <w:tcBorders>
                    <w:left w:val="single" w:sz="4" w:space="0" w:color="auto"/>
                    <w:right w:val="single" w:sz="4" w:space="0" w:color="auto"/>
                  </w:tcBorders>
                  <w:vAlign w:val="center"/>
                </w:tcPr>
                <w:p w14:paraId="012F4748" w14:textId="695C1A30" w:rsidR="00C30C3B" w:rsidRPr="0085514D" w:rsidRDefault="00C30C3B" w:rsidP="00C30C3B">
                  <w:pPr>
                    <w:jc w:val="right"/>
                    <w:rPr>
                      <w:rFonts w:asciiTheme="majorHAnsi" w:hAnsiTheme="majorHAnsi" w:cstheme="majorHAnsi"/>
                      <w:color w:val="000000"/>
                      <w:szCs w:val="24"/>
                    </w:rPr>
                  </w:pPr>
                  <w:r w:rsidRPr="007D72B6">
                    <w:rPr>
                      <w:rFonts w:ascii="Calibri Light" w:hAnsi="Calibri Light" w:cs="Times New Roman"/>
                      <w:color w:val="000000"/>
                      <w:szCs w:val="24"/>
                    </w:rPr>
                    <w:t>1.691</w:t>
                  </w:r>
                </w:p>
              </w:tc>
            </w:tr>
            <w:tr w:rsidR="00C30C3B" w:rsidRPr="00970F0E" w14:paraId="42882587" w14:textId="77777777" w:rsidTr="00C30C3B">
              <w:trPr>
                <w:trHeight w:val="300"/>
              </w:trPr>
              <w:tc>
                <w:tcPr>
                  <w:tcW w:w="7083" w:type="dxa"/>
                  <w:tcBorders>
                    <w:top w:val="nil"/>
                    <w:left w:val="single" w:sz="4" w:space="0" w:color="auto"/>
                    <w:bottom w:val="nil"/>
                    <w:right w:val="single" w:sz="4" w:space="0" w:color="auto"/>
                  </w:tcBorders>
                  <w:shd w:val="clear" w:color="auto" w:fill="auto"/>
                  <w:noWrap/>
                  <w:vAlign w:val="center"/>
                </w:tcPr>
                <w:p w14:paraId="3FCAA93F" w14:textId="17919CCF"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National Driver Offender Retraining scheme</w:t>
                  </w:r>
                </w:p>
              </w:tc>
              <w:tc>
                <w:tcPr>
                  <w:tcW w:w="999" w:type="dxa"/>
                  <w:tcBorders>
                    <w:left w:val="single" w:sz="4" w:space="0" w:color="auto"/>
                  </w:tcBorders>
                  <w:noWrap/>
                  <w:vAlign w:val="center"/>
                </w:tcPr>
                <w:p w14:paraId="5CCBADE3" w14:textId="581F3CFB"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0.847</w:t>
                  </w:r>
                </w:p>
              </w:tc>
              <w:tc>
                <w:tcPr>
                  <w:tcW w:w="999" w:type="dxa"/>
                  <w:tcBorders>
                    <w:left w:val="single" w:sz="4" w:space="0" w:color="auto"/>
                    <w:right w:val="single" w:sz="4" w:space="0" w:color="auto"/>
                  </w:tcBorders>
                  <w:vAlign w:val="center"/>
                </w:tcPr>
                <w:p w14:paraId="0CDAD774" w14:textId="507DAAA9"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0.747</w:t>
                  </w:r>
                </w:p>
              </w:tc>
            </w:tr>
            <w:tr w:rsidR="00C30C3B" w:rsidRPr="00970F0E" w14:paraId="0AE78A65" w14:textId="77777777" w:rsidTr="00C30C3B">
              <w:trPr>
                <w:trHeight w:val="300"/>
              </w:trPr>
              <w:tc>
                <w:tcPr>
                  <w:tcW w:w="7083" w:type="dxa"/>
                  <w:tcBorders>
                    <w:left w:val="single" w:sz="4" w:space="0" w:color="auto"/>
                    <w:right w:val="single" w:sz="4" w:space="0" w:color="auto"/>
                  </w:tcBorders>
                  <w:shd w:val="clear" w:color="auto" w:fill="auto"/>
                  <w:noWrap/>
                  <w:vAlign w:val="center"/>
                  <w:hideMark/>
                </w:tcPr>
                <w:p w14:paraId="4B701A6F" w14:textId="1DEF9DF6" w:rsidR="00C30C3B" w:rsidRPr="0085514D" w:rsidRDefault="00C30C3B" w:rsidP="00C30C3B">
                  <w:pPr>
                    <w:rPr>
                      <w:rFonts w:asciiTheme="majorHAnsi" w:hAnsiTheme="majorHAnsi" w:cstheme="majorHAnsi"/>
                      <w:color w:val="000000"/>
                      <w:szCs w:val="24"/>
                    </w:rPr>
                  </w:pPr>
                  <w:r w:rsidRPr="007D72B6">
                    <w:rPr>
                      <w:rFonts w:ascii="Calibri Light" w:hAnsi="Calibri Light" w:cs="Times New Roman"/>
                      <w:color w:val="000000"/>
                      <w:szCs w:val="24"/>
                    </w:rPr>
                    <w:t>Speed enforcement reserve</w:t>
                  </w:r>
                </w:p>
              </w:tc>
              <w:tc>
                <w:tcPr>
                  <w:tcW w:w="999" w:type="dxa"/>
                  <w:tcBorders>
                    <w:left w:val="single" w:sz="4" w:space="0" w:color="auto"/>
                  </w:tcBorders>
                  <w:noWrap/>
                  <w:vAlign w:val="center"/>
                </w:tcPr>
                <w:p w14:paraId="26B2E433" w14:textId="0103EAA5"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1.496</w:t>
                  </w:r>
                </w:p>
              </w:tc>
              <w:tc>
                <w:tcPr>
                  <w:tcW w:w="999" w:type="dxa"/>
                  <w:tcBorders>
                    <w:left w:val="single" w:sz="4" w:space="0" w:color="auto"/>
                    <w:right w:val="single" w:sz="4" w:space="0" w:color="auto"/>
                  </w:tcBorders>
                  <w:vAlign w:val="center"/>
                </w:tcPr>
                <w:p w14:paraId="37E94421" w14:textId="41DB98A6"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1.196</w:t>
                  </w:r>
                </w:p>
              </w:tc>
            </w:tr>
            <w:tr w:rsidR="00C30C3B" w:rsidRPr="00970F0E" w14:paraId="4B40F576" w14:textId="77777777" w:rsidTr="00C30C3B">
              <w:trPr>
                <w:trHeight w:val="300"/>
              </w:trPr>
              <w:tc>
                <w:tcPr>
                  <w:tcW w:w="7083" w:type="dxa"/>
                  <w:tcBorders>
                    <w:left w:val="single" w:sz="4" w:space="0" w:color="auto"/>
                    <w:right w:val="single" w:sz="4" w:space="0" w:color="auto"/>
                  </w:tcBorders>
                  <w:shd w:val="clear" w:color="auto" w:fill="auto"/>
                  <w:noWrap/>
                  <w:vAlign w:val="center"/>
                </w:tcPr>
                <w:p w14:paraId="1A742CBE" w14:textId="71C67D43" w:rsidR="00C30C3B" w:rsidRPr="007D72B6" w:rsidRDefault="00C30C3B" w:rsidP="00C30C3B">
                  <w:pPr>
                    <w:rPr>
                      <w:rFonts w:ascii="Calibri Light" w:hAnsi="Calibri Light" w:cs="Times New Roman"/>
                      <w:color w:val="000000"/>
                      <w:szCs w:val="24"/>
                    </w:rPr>
                  </w:pPr>
                  <w:r>
                    <w:rPr>
                      <w:rFonts w:ascii="Calibri Light" w:hAnsi="Calibri Light" w:cs="Times New Roman"/>
                      <w:color w:val="000000"/>
                      <w:szCs w:val="24"/>
                    </w:rPr>
                    <w:t>Regional Collaborations</w:t>
                  </w:r>
                </w:p>
              </w:tc>
              <w:tc>
                <w:tcPr>
                  <w:tcW w:w="999" w:type="dxa"/>
                  <w:tcBorders>
                    <w:left w:val="single" w:sz="4" w:space="0" w:color="auto"/>
                  </w:tcBorders>
                  <w:noWrap/>
                  <w:vAlign w:val="center"/>
                </w:tcPr>
                <w:p w14:paraId="75E525CC" w14:textId="0E4D6BF9"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0.160</w:t>
                  </w:r>
                </w:p>
              </w:tc>
              <w:tc>
                <w:tcPr>
                  <w:tcW w:w="999" w:type="dxa"/>
                  <w:tcBorders>
                    <w:left w:val="single" w:sz="4" w:space="0" w:color="auto"/>
                    <w:right w:val="single" w:sz="4" w:space="0" w:color="auto"/>
                  </w:tcBorders>
                  <w:vAlign w:val="center"/>
                </w:tcPr>
                <w:p w14:paraId="72E80CD3" w14:textId="1BF2B9F9"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0.160</w:t>
                  </w:r>
                </w:p>
              </w:tc>
            </w:tr>
            <w:tr w:rsidR="00C30C3B" w:rsidRPr="00970F0E" w14:paraId="16DE558C" w14:textId="77777777" w:rsidTr="00C30C3B">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tcPr>
                <w:p w14:paraId="6FB50773" w14:textId="3A92E42E" w:rsidR="00C30C3B" w:rsidRPr="0085514D" w:rsidRDefault="00C30C3B" w:rsidP="00C30C3B">
                  <w:pPr>
                    <w:rPr>
                      <w:rFonts w:asciiTheme="majorHAnsi" w:hAnsiTheme="majorHAnsi" w:cstheme="majorHAnsi"/>
                      <w:color w:val="000000"/>
                      <w:szCs w:val="24"/>
                    </w:rPr>
                  </w:pPr>
                  <w:r w:rsidRPr="0085514D">
                    <w:rPr>
                      <w:rFonts w:asciiTheme="majorHAnsi" w:hAnsiTheme="majorHAnsi" w:cstheme="majorHAnsi"/>
                      <w:color w:val="000000"/>
                      <w:szCs w:val="24"/>
                    </w:rPr>
                    <w:t>Proceeds of crime act reserve</w:t>
                  </w:r>
                </w:p>
              </w:tc>
              <w:tc>
                <w:tcPr>
                  <w:tcW w:w="999" w:type="dxa"/>
                  <w:tcBorders>
                    <w:bottom w:val="single" w:sz="4" w:space="0" w:color="auto"/>
                    <w:right w:val="single" w:sz="4" w:space="0" w:color="auto"/>
                  </w:tcBorders>
                  <w:noWrap/>
                  <w:vAlign w:val="center"/>
                </w:tcPr>
                <w:p w14:paraId="0EEBC0EA" w14:textId="23110B6B"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1.153</w:t>
                  </w:r>
                </w:p>
              </w:tc>
              <w:tc>
                <w:tcPr>
                  <w:tcW w:w="999" w:type="dxa"/>
                  <w:tcBorders>
                    <w:left w:val="single" w:sz="4" w:space="0" w:color="auto"/>
                    <w:bottom w:val="single" w:sz="4" w:space="0" w:color="auto"/>
                    <w:right w:val="single" w:sz="4" w:space="0" w:color="auto"/>
                  </w:tcBorders>
                  <w:vAlign w:val="center"/>
                </w:tcPr>
                <w:p w14:paraId="0554877C" w14:textId="73D9CAEE" w:rsidR="00C30C3B" w:rsidRPr="0085514D" w:rsidRDefault="00C30C3B" w:rsidP="00C30C3B">
                  <w:pPr>
                    <w:jc w:val="right"/>
                    <w:rPr>
                      <w:rFonts w:asciiTheme="majorHAnsi" w:hAnsiTheme="majorHAnsi" w:cstheme="majorHAnsi"/>
                      <w:color w:val="000000"/>
                      <w:szCs w:val="24"/>
                    </w:rPr>
                  </w:pPr>
                  <w:r>
                    <w:rPr>
                      <w:rFonts w:ascii="Calibri Light" w:hAnsi="Calibri Light" w:cs="Times New Roman"/>
                      <w:color w:val="000000"/>
                      <w:szCs w:val="24"/>
                    </w:rPr>
                    <w:t>1.053</w:t>
                  </w:r>
                </w:p>
              </w:tc>
            </w:tr>
            <w:tr w:rsidR="00C30C3B" w:rsidRPr="00970F0E" w14:paraId="45A5BFD0" w14:textId="77777777" w:rsidTr="00C30C3B">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C659E7B" w14:textId="77777777" w:rsidR="00C30C3B" w:rsidRPr="0085514D" w:rsidRDefault="00C30C3B" w:rsidP="00C30C3B">
                  <w:pPr>
                    <w:rPr>
                      <w:rFonts w:asciiTheme="majorHAnsi" w:hAnsiTheme="majorHAnsi" w:cstheme="majorHAnsi"/>
                      <w:color w:val="000000"/>
                      <w:szCs w:val="24"/>
                    </w:rPr>
                  </w:pPr>
                </w:p>
              </w:tc>
              <w:tc>
                <w:tcPr>
                  <w:tcW w:w="999" w:type="dxa"/>
                  <w:tcBorders>
                    <w:top w:val="single" w:sz="4" w:space="0" w:color="auto"/>
                    <w:left w:val="nil"/>
                    <w:bottom w:val="single" w:sz="4" w:space="0" w:color="auto"/>
                    <w:right w:val="single" w:sz="4" w:space="0" w:color="auto"/>
                  </w:tcBorders>
                  <w:noWrap/>
                  <w:vAlign w:val="center"/>
                </w:tcPr>
                <w:p w14:paraId="217D9E44" w14:textId="5EE015D3" w:rsidR="00C30C3B" w:rsidRPr="0085514D" w:rsidRDefault="00C30C3B" w:rsidP="00C30C3B">
                  <w:pPr>
                    <w:jc w:val="right"/>
                    <w:rPr>
                      <w:rFonts w:asciiTheme="majorHAnsi" w:hAnsiTheme="majorHAnsi" w:cstheme="majorHAnsi"/>
                      <w:b/>
                      <w:bCs/>
                      <w:color w:val="000000"/>
                      <w:szCs w:val="24"/>
                    </w:rPr>
                  </w:pPr>
                  <w:r>
                    <w:rPr>
                      <w:rFonts w:asciiTheme="majorHAnsi" w:hAnsiTheme="majorHAnsi" w:cstheme="majorHAnsi"/>
                      <w:b/>
                      <w:bCs/>
                      <w:color w:val="000000"/>
                      <w:szCs w:val="24"/>
                    </w:rPr>
                    <w:fldChar w:fldCharType="begin"/>
                  </w:r>
                  <w:r>
                    <w:rPr>
                      <w:rFonts w:asciiTheme="majorHAnsi" w:hAnsiTheme="majorHAnsi" w:cstheme="majorHAnsi"/>
                      <w:b/>
                      <w:bCs/>
                      <w:color w:val="000000"/>
                      <w:szCs w:val="24"/>
                    </w:rPr>
                    <w:instrText xml:space="preserve"> =SUM(ABOVE) </w:instrText>
                  </w:r>
                  <w:r>
                    <w:rPr>
                      <w:rFonts w:asciiTheme="majorHAnsi" w:hAnsiTheme="majorHAnsi" w:cstheme="majorHAnsi"/>
                      <w:b/>
                      <w:bCs/>
                      <w:color w:val="000000"/>
                      <w:szCs w:val="24"/>
                    </w:rPr>
                    <w:fldChar w:fldCharType="separate"/>
                  </w:r>
                  <w:r>
                    <w:rPr>
                      <w:rFonts w:asciiTheme="majorHAnsi" w:hAnsiTheme="majorHAnsi" w:cstheme="majorHAnsi"/>
                      <w:b/>
                      <w:bCs/>
                      <w:noProof/>
                      <w:color w:val="000000"/>
                      <w:szCs w:val="24"/>
                    </w:rPr>
                    <w:t>6.897</w:t>
                  </w:r>
                  <w:r>
                    <w:rPr>
                      <w:rFonts w:asciiTheme="majorHAnsi" w:hAnsiTheme="majorHAnsi" w:cstheme="majorHAnsi"/>
                      <w:b/>
                      <w:bCs/>
                      <w:color w:val="000000"/>
                      <w:szCs w:val="24"/>
                    </w:rPr>
                    <w:fldChar w:fldCharType="end"/>
                  </w:r>
                </w:p>
              </w:tc>
              <w:tc>
                <w:tcPr>
                  <w:tcW w:w="999" w:type="dxa"/>
                  <w:tcBorders>
                    <w:top w:val="single" w:sz="4" w:space="0" w:color="auto"/>
                    <w:left w:val="nil"/>
                    <w:bottom w:val="single" w:sz="4" w:space="0" w:color="auto"/>
                    <w:right w:val="single" w:sz="4" w:space="0" w:color="auto"/>
                  </w:tcBorders>
                  <w:vAlign w:val="center"/>
                </w:tcPr>
                <w:p w14:paraId="6B2D586A" w14:textId="00850C3F" w:rsidR="00C30C3B" w:rsidRPr="0085514D" w:rsidRDefault="00C30C3B" w:rsidP="00C30C3B">
                  <w:pPr>
                    <w:jc w:val="right"/>
                    <w:rPr>
                      <w:rFonts w:asciiTheme="majorHAnsi" w:hAnsiTheme="majorHAnsi" w:cstheme="majorHAnsi"/>
                      <w:b/>
                      <w:bCs/>
                      <w:color w:val="000000"/>
                      <w:szCs w:val="24"/>
                    </w:rPr>
                  </w:pPr>
                  <w:r>
                    <w:rPr>
                      <w:rFonts w:asciiTheme="majorHAnsi" w:hAnsiTheme="majorHAnsi" w:cstheme="majorHAnsi"/>
                      <w:b/>
                      <w:bCs/>
                      <w:color w:val="000000"/>
                      <w:szCs w:val="24"/>
                    </w:rPr>
                    <w:fldChar w:fldCharType="begin"/>
                  </w:r>
                  <w:r>
                    <w:rPr>
                      <w:rFonts w:asciiTheme="majorHAnsi" w:hAnsiTheme="majorHAnsi" w:cstheme="majorHAnsi"/>
                      <w:b/>
                      <w:bCs/>
                      <w:color w:val="000000"/>
                      <w:szCs w:val="24"/>
                    </w:rPr>
                    <w:instrText xml:space="preserve"> =SUM(ABOVE) </w:instrText>
                  </w:r>
                  <w:r>
                    <w:rPr>
                      <w:rFonts w:asciiTheme="majorHAnsi" w:hAnsiTheme="majorHAnsi" w:cstheme="majorHAnsi"/>
                      <w:b/>
                      <w:bCs/>
                      <w:color w:val="000000"/>
                      <w:szCs w:val="24"/>
                    </w:rPr>
                    <w:fldChar w:fldCharType="separate"/>
                  </w:r>
                  <w:r>
                    <w:rPr>
                      <w:rFonts w:asciiTheme="majorHAnsi" w:hAnsiTheme="majorHAnsi" w:cstheme="majorHAnsi"/>
                      <w:b/>
                      <w:bCs/>
                      <w:noProof/>
                      <w:color w:val="000000"/>
                      <w:szCs w:val="24"/>
                    </w:rPr>
                    <w:t>6.347</w:t>
                  </w:r>
                  <w:r>
                    <w:rPr>
                      <w:rFonts w:asciiTheme="majorHAnsi" w:hAnsiTheme="majorHAnsi" w:cstheme="majorHAnsi"/>
                      <w:b/>
                      <w:bCs/>
                      <w:color w:val="000000"/>
                      <w:szCs w:val="24"/>
                    </w:rPr>
                    <w:fldChar w:fldCharType="end"/>
                  </w:r>
                </w:p>
              </w:tc>
            </w:tr>
            <w:tr w:rsidR="00C30C3B" w:rsidRPr="00970F0E" w14:paraId="2DED28D2" w14:textId="77777777" w:rsidTr="00623987">
              <w:trPr>
                <w:trHeight w:val="60"/>
              </w:trPr>
              <w:tc>
                <w:tcPr>
                  <w:tcW w:w="7083" w:type="dxa"/>
                  <w:tcBorders>
                    <w:top w:val="single" w:sz="4" w:space="0" w:color="auto"/>
                    <w:bottom w:val="single" w:sz="4" w:space="0" w:color="auto"/>
                  </w:tcBorders>
                  <w:shd w:val="clear" w:color="auto" w:fill="auto"/>
                  <w:noWrap/>
                  <w:vAlign w:val="bottom"/>
                  <w:hideMark/>
                </w:tcPr>
                <w:p w14:paraId="02BC5839" w14:textId="77777777" w:rsidR="00C30C3B" w:rsidRPr="0085514D" w:rsidRDefault="00C30C3B" w:rsidP="00C30C3B">
                  <w:pPr>
                    <w:rPr>
                      <w:rFonts w:asciiTheme="majorHAnsi" w:hAnsiTheme="majorHAnsi" w:cstheme="majorHAnsi"/>
                      <w:b/>
                      <w:bCs/>
                      <w:color w:val="000000"/>
                      <w:sz w:val="8"/>
                      <w:szCs w:val="8"/>
                    </w:rPr>
                  </w:pPr>
                </w:p>
              </w:tc>
              <w:tc>
                <w:tcPr>
                  <w:tcW w:w="999" w:type="dxa"/>
                  <w:tcBorders>
                    <w:top w:val="single" w:sz="4" w:space="0" w:color="auto"/>
                    <w:bottom w:val="single" w:sz="4" w:space="0" w:color="auto"/>
                  </w:tcBorders>
                  <w:shd w:val="clear" w:color="auto" w:fill="auto"/>
                  <w:noWrap/>
                  <w:vAlign w:val="center"/>
                  <w:hideMark/>
                </w:tcPr>
                <w:p w14:paraId="0E912507" w14:textId="77777777" w:rsidR="00C30C3B" w:rsidRPr="0085514D" w:rsidRDefault="00C30C3B" w:rsidP="00C30C3B">
                  <w:pPr>
                    <w:jc w:val="right"/>
                    <w:rPr>
                      <w:rFonts w:asciiTheme="majorHAnsi" w:hAnsiTheme="majorHAnsi" w:cstheme="majorHAnsi"/>
                      <w:sz w:val="8"/>
                      <w:szCs w:val="8"/>
                    </w:rPr>
                  </w:pPr>
                </w:p>
              </w:tc>
              <w:tc>
                <w:tcPr>
                  <w:tcW w:w="999" w:type="dxa"/>
                  <w:tcBorders>
                    <w:top w:val="single" w:sz="4" w:space="0" w:color="auto"/>
                    <w:left w:val="nil"/>
                    <w:bottom w:val="single" w:sz="4" w:space="0" w:color="auto"/>
                  </w:tcBorders>
                </w:tcPr>
                <w:p w14:paraId="7146385D" w14:textId="77777777" w:rsidR="00C30C3B" w:rsidRPr="0085514D" w:rsidRDefault="00C30C3B" w:rsidP="00C30C3B">
                  <w:pPr>
                    <w:jc w:val="right"/>
                    <w:rPr>
                      <w:rFonts w:asciiTheme="majorHAnsi" w:hAnsiTheme="majorHAnsi" w:cstheme="majorHAnsi"/>
                      <w:sz w:val="8"/>
                      <w:szCs w:val="8"/>
                    </w:rPr>
                  </w:pPr>
                </w:p>
              </w:tc>
            </w:tr>
            <w:tr w:rsidR="00C30C3B" w:rsidRPr="00970F0E" w14:paraId="0B16F5B2" w14:textId="77777777" w:rsidTr="000534A6">
              <w:trPr>
                <w:trHeight w:val="300"/>
              </w:trPr>
              <w:tc>
                <w:tcPr>
                  <w:tcW w:w="7083" w:type="dxa"/>
                  <w:tcBorders>
                    <w:top w:val="single" w:sz="4" w:space="0" w:color="auto"/>
                    <w:left w:val="single" w:sz="4" w:space="0" w:color="auto"/>
                    <w:right w:val="single" w:sz="4" w:space="0" w:color="auto"/>
                  </w:tcBorders>
                  <w:shd w:val="clear" w:color="auto" w:fill="auto"/>
                  <w:noWrap/>
                </w:tcPr>
                <w:p w14:paraId="7E43BC74" w14:textId="04EB5DCC" w:rsidR="00C30C3B" w:rsidRPr="0085514D" w:rsidRDefault="00C30C3B" w:rsidP="00C30C3B">
                  <w:pPr>
                    <w:rPr>
                      <w:rFonts w:asciiTheme="majorHAnsi" w:hAnsiTheme="majorHAnsi" w:cstheme="majorHAnsi"/>
                      <w:b/>
                      <w:color w:val="000000"/>
                      <w:szCs w:val="24"/>
                    </w:rPr>
                  </w:pPr>
                </w:p>
              </w:tc>
              <w:tc>
                <w:tcPr>
                  <w:tcW w:w="999" w:type="dxa"/>
                  <w:tcBorders>
                    <w:top w:val="single" w:sz="4" w:space="0" w:color="auto"/>
                    <w:left w:val="nil"/>
                    <w:bottom w:val="nil"/>
                    <w:right w:val="single" w:sz="4" w:space="0" w:color="auto"/>
                  </w:tcBorders>
                  <w:noWrap/>
                  <w:vAlign w:val="center"/>
                  <w:hideMark/>
                </w:tcPr>
                <w:p w14:paraId="07A1A8E0" w14:textId="4DD1BC27" w:rsidR="00C30C3B" w:rsidRPr="0085514D" w:rsidRDefault="00C30C3B" w:rsidP="00C30C3B">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Pr>
                      <w:rFonts w:asciiTheme="majorHAnsi" w:hAnsiTheme="majorHAnsi" w:cstheme="majorHAnsi"/>
                      <w:b/>
                      <w:color w:val="000000"/>
                      <w:szCs w:val="24"/>
                    </w:rPr>
                    <w:t>4</w:t>
                  </w:r>
                </w:p>
              </w:tc>
              <w:tc>
                <w:tcPr>
                  <w:tcW w:w="999" w:type="dxa"/>
                  <w:tcBorders>
                    <w:top w:val="single" w:sz="4" w:space="0" w:color="auto"/>
                    <w:left w:val="single" w:sz="4" w:space="0" w:color="auto"/>
                    <w:bottom w:val="nil"/>
                    <w:right w:val="single" w:sz="4" w:space="0" w:color="auto"/>
                  </w:tcBorders>
                  <w:vAlign w:val="center"/>
                </w:tcPr>
                <w:p w14:paraId="5FD8613B" w14:textId="6FF83F26" w:rsidR="00C30C3B" w:rsidRPr="0085514D" w:rsidRDefault="00C30C3B" w:rsidP="00C30C3B">
                  <w:pPr>
                    <w:jc w:val="center"/>
                    <w:rPr>
                      <w:rFonts w:asciiTheme="majorHAnsi" w:hAnsiTheme="majorHAnsi" w:cstheme="majorHAnsi"/>
                      <w:b/>
                      <w:bCs/>
                      <w:color w:val="000000"/>
                      <w:szCs w:val="24"/>
                    </w:rPr>
                  </w:pPr>
                  <w:r w:rsidRPr="0085514D">
                    <w:rPr>
                      <w:rFonts w:asciiTheme="majorHAnsi" w:hAnsiTheme="majorHAnsi" w:cstheme="majorHAnsi"/>
                      <w:b/>
                      <w:color w:val="000000"/>
                      <w:szCs w:val="24"/>
                    </w:rPr>
                    <w:t>31/3/2</w:t>
                  </w:r>
                  <w:r>
                    <w:rPr>
                      <w:rFonts w:asciiTheme="majorHAnsi" w:hAnsiTheme="majorHAnsi" w:cstheme="majorHAnsi"/>
                      <w:b/>
                      <w:color w:val="000000"/>
                      <w:szCs w:val="24"/>
                    </w:rPr>
                    <w:t>5</w:t>
                  </w:r>
                </w:p>
              </w:tc>
            </w:tr>
            <w:tr w:rsidR="00C30C3B" w:rsidRPr="00970F0E" w14:paraId="73DE4960" w14:textId="77777777" w:rsidTr="00623987">
              <w:trPr>
                <w:trHeight w:val="300"/>
              </w:trPr>
              <w:tc>
                <w:tcPr>
                  <w:tcW w:w="7083" w:type="dxa"/>
                  <w:tcBorders>
                    <w:top w:val="nil"/>
                    <w:left w:val="single" w:sz="4" w:space="0" w:color="auto"/>
                    <w:right w:val="single" w:sz="4" w:space="0" w:color="auto"/>
                  </w:tcBorders>
                  <w:shd w:val="clear" w:color="auto" w:fill="auto"/>
                  <w:noWrap/>
                  <w:vAlign w:val="center"/>
                </w:tcPr>
                <w:p w14:paraId="0ADC584D" w14:textId="77777777" w:rsidR="00C30C3B" w:rsidRPr="0085514D" w:rsidRDefault="00C30C3B" w:rsidP="00C30C3B">
                  <w:pPr>
                    <w:rPr>
                      <w:rFonts w:asciiTheme="majorHAnsi" w:hAnsiTheme="majorHAnsi" w:cstheme="majorHAnsi"/>
                      <w:b/>
                      <w:bCs/>
                      <w:color w:val="000000"/>
                      <w:szCs w:val="24"/>
                    </w:rPr>
                  </w:pPr>
                </w:p>
              </w:tc>
              <w:tc>
                <w:tcPr>
                  <w:tcW w:w="999" w:type="dxa"/>
                  <w:tcBorders>
                    <w:top w:val="nil"/>
                    <w:left w:val="nil"/>
                    <w:bottom w:val="nil"/>
                    <w:right w:val="single" w:sz="4" w:space="0" w:color="auto"/>
                  </w:tcBorders>
                  <w:noWrap/>
                  <w:vAlign w:val="center"/>
                </w:tcPr>
                <w:p w14:paraId="42344303" w14:textId="77777777" w:rsidR="00C30C3B" w:rsidRPr="0085514D" w:rsidRDefault="00C30C3B" w:rsidP="00C30C3B">
                  <w:pPr>
                    <w:jc w:val="center"/>
                    <w:rPr>
                      <w:rFonts w:asciiTheme="majorHAnsi" w:hAnsiTheme="majorHAnsi" w:cstheme="majorHAnsi"/>
                      <w:b/>
                      <w:szCs w:val="24"/>
                    </w:rPr>
                  </w:pPr>
                  <w:r w:rsidRPr="0085514D">
                    <w:rPr>
                      <w:rFonts w:asciiTheme="majorHAnsi" w:hAnsiTheme="majorHAnsi" w:cstheme="majorHAnsi"/>
                      <w:b/>
                      <w:color w:val="000000"/>
                      <w:szCs w:val="24"/>
                    </w:rPr>
                    <w:t>£m</w:t>
                  </w:r>
                </w:p>
              </w:tc>
              <w:tc>
                <w:tcPr>
                  <w:tcW w:w="999" w:type="dxa"/>
                  <w:tcBorders>
                    <w:top w:val="nil"/>
                    <w:left w:val="single" w:sz="4" w:space="0" w:color="auto"/>
                    <w:bottom w:val="nil"/>
                    <w:right w:val="single" w:sz="4" w:space="0" w:color="auto"/>
                  </w:tcBorders>
                  <w:vAlign w:val="center"/>
                </w:tcPr>
                <w:p w14:paraId="69FB970A" w14:textId="77777777" w:rsidR="00C30C3B" w:rsidRPr="0085514D" w:rsidRDefault="00C30C3B" w:rsidP="00C30C3B">
                  <w:pPr>
                    <w:jc w:val="center"/>
                    <w:rPr>
                      <w:rFonts w:asciiTheme="majorHAnsi" w:hAnsiTheme="majorHAnsi" w:cstheme="majorHAnsi"/>
                      <w:b/>
                      <w:szCs w:val="24"/>
                    </w:rPr>
                  </w:pPr>
                  <w:r w:rsidRPr="0085514D">
                    <w:rPr>
                      <w:rFonts w:asciiTheme="majorHAnsi" w:hAnsiTheme="majorHAnsi" w:cstheme="majorHAnsi"/>
                      <w:b/>
                      <w:color w:val="000000"/>
                      <w:szCs w:val="24"/>
                    </w:rPr>
                    <w:t>£m</w:t>
                  </w:r>
                </w:p>
              </w:tc>
            </w:tr>
            <w:tr w:rsidR="00C30C3B" w:rsidRPr="00970F0E" w14:paraId="6B0AF652" w14:textId="77777777" w:rsidTr="00623987">
              <w:trPr>
                <w:trHeight w:val="463"/>
              </w:trPr>
              <w:tc>
                <w:tcPr>
                  <w:tcW w:w="7083" w:type="dxa"/>
                  <w:tcBorders>
                    <w:left w:val="single" w:sz="4" w:space="0" w:color="auto"/>
                    <w:bottom w:val="single" w:sz="4" w:space="0" w:color="auto"/>
                    <w:right w:val="single" w:sz="4" w:space="0" w:color="auto"/>
                  </w:tcBorders>
                  <w:shd w:val="clear" w:color="auto" w:fill="auto"/>
                  <w:noWrap/>
                  <w:vAlign w:val="center"/>
                  <w:hideMark/>
                </w:tcPr>
                <w:p w14:paraId="31B1D38C" w14:textId="77777777" w:rsidR="00C30C3B" w:rsidRPr="0085514D" w:rsidRDefault="00C30C3B" w:rsidP="00C30C3B">
                  <w:pPr>
                    <w:rPr>
                      <w:rFonts w:asciiTheme="majorHAnsi" w:hAnsiTheme="majorHAnsi" w:cstheme="majorHAnsi"/>
                      <w:b/>
                      <w:bCs/>
                      <w:color w:val="000000"/>
                      <w:szCs w:val="24"/>
                    </w:rPr>
                  </w:pPr>
                  <w:r w:rsidRPr="0085514D">
                    <w:rPr>
                      <w:rFonts w:asciiTheme="majorHAnsi" w:hAnsiTheme="majorHAnsi" w:cstheme="majorHAnsi"/>
                      <w:b/>
                      <w:bCs/>
                      <w:color w:val="000000"/>
                      <w:szCs w:val="24"/>
                    </w:rPr>
                    <w:t>General reserves</w:t>
                  </w:r>
                </w:p>
              </w:tc>
              <w:tc>
                <w:tcPr>
                  <w:tcW w:w="999" w:type="dxa"/>
                  <w:tcBorders>
                    <w:top w:val="nil"/>
                    <w:left w:val="single" w:sz="4" w:space="0" w:color="auto"/>
                    <w:bottom w:val="single" w:sz="4" w:space="0" w:color="auto"/>
                    <w:right w:val="single" w:sz="4" w:space="0" w:color="auto"/>
                  </w:tcBorders>
                  <w:shd w:val="clear" w:color="auto" w:fill="auto"/>
                  <w:noWrap/>
                  <w:vAlign w:val="center"/>
                </w:tcPr>
                <w:p w14:paraId="0E0D7C73" w14:textId="19341F64" w:rsidR="00C30C3B" w:rsidRPr="0085514D" w:rsidRDefault="00C30C3B" w:rsidP="00C30C3B">
                  <w:pPr>
                    <w:jc w:val="right"/>
                    <w:rPr>
                      <w:rFonts w:asciiTheme="majorHAnsi" w:hAnsiTheme="majorHAnsi" w:cstheme="majorHAnsi"/>
                      <w:b/>
                      <w:szCs w:val="24"/>
                    </w:rPr>
                  </w:pPr>
                  <w:r w:rsidRPr="0085514D">
                    <w:rPr>
                      <w:rFonts w:asciiTheme="majorHAnsi" w:hAnsiTheme="majorHAnsi" w:cstheme="majorHAnsi"/>
                      <w:b/>
                      <w:szCs w:val="24"/>
                    </w:rPr>
                    <w:t>1</w:t>
                  </w:r>
                  <w:r>
                    <w:rPr>
                      <w:rFonts w:asciiTheme="majorHAnsi" w:hAnsiTheme="majorHAnsi" w:cstheme="majorHAnsi"/>
                      <w:b/>
                      <w:szCs w:val="24"/>
                    </w:rPr>
                    <w:t>7.710</w:t>
                  </w:r>
                </w:p>
              </w:tc>
              <w:tc>
                <w:tcPr>
                  <w:tcW w:w="999" w:type="dxa"/>
                  <w:tcBorders>
                    <w:top w:val="nil"/>
                    <w:left w:val="single" w:sz="4" w:space="0" w:color="auto"/>
                    <w:bottom w:val="single" w:sz="4" w:space="0" w:color="auto"/>
                    <w:right w:val="single" w:sz="4" w:space="0" w:color="auto"/>
                  </w:tcBorders>
                  <w:vAlign w:val="center"/>
                </w:tcPr>
                <w:p w14:paraId="366C1268" w14:textId="028BBD1F" w:rsidR="00C30C3B" w:rsidRPr="0085514D" w:rsidRDefault="00C30C3B" w:rsidP="00C30C3B">
                  <w:pPr>
                    <w:jc w:val="right"/>
                    <w:rPr>
                      <w:rFonts w:asciiTheme="majorHAnsi" w:hAnsiTheme="majorHAnsi" w:cstheme="majorHAnsi"/>
                      <w:b/>
                      <w:szCs w:val="24"/>
                    </w:rPr>
                  </w:pPr>
                  <w:r w:rsidRPr="0085514D">
                    <w:rPr>
                      <w:rFonts w:asciiTheme="majorHAnsi" w:hAnsiTheme="majorHAnsi" w:cstheme="majorHAnsi"/>
                      <w:b/>
                      <w:szCs w:val="24"/>
                    </w:rPr>
                    <w:t>1</w:t>
                  </w:r>
                  <w:r>
                    <w:rPr>
                      <w:rFonts w:asciiTheme="majorHAnsi" w:hAnsiTheme="majorHAnsi" w:cstheme="majorHAnsi"/>
                      <w:b/>
                      <w:szCs w:val="24"/>
                    </w:rPr>
                    <w:t>4.710</w:t>
                  </w:r>
                </w:p>
              </w:tc>
            </w:tr>
          </w:tbl>
          <w:p w14:paraId="3553F33C" w14:textId="77777777" w:rsidR="004E6102" w:rsidRPr="0085514D" w:rsidRDefault="004E6102" w:rsidP="00A36BB1">
            <w:pPr>
              <w:autoSpaceDE w:val="0"/>
              <w:autoSpaceDN w:val="0"/>
              <w:adjustRightInd w:val="0"/>
              <w:spacing w:line="259" w:lineRule="auto"/>
              <w:ind w:left="426"/>
              <w:rPr>
                <w:rFonts w:ascii="Calibri Light" w:eastAsia="Calibri" w:hAnsi="Calibri Light"/>
                <w:bCs/>
                <w:color w:val="000000"/>
                <w:sz w:val="20"/>
                <w:szCs w:val="20"/>
                <w:lang w:eastAsia="en-US"/>
              </w:rPr>
            </w:pPr>
          </w:p>
          <w:p w14:paraId="70A72706" w14:textId="77777777" w:rsidR="004E6102" w:rsidRPr="00970F0E" w:rsidRDefault="004E6102" w:rsidP="0085514D">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application of funding for the capital investment programme including the specific investment reserves shown in the table above is as follows. </w:t>
            </w:r>
          </w:p>
          <w:tbl>
            <w:tblPr>
              <w:tblStyle w:val="TableGrid41"/>
              <w:tblW w:w="5000" w:type="pct"/>
              <w:jc w:val="center"/>
              <w:tblLook w:val="04A0" w:firstRow="1" w:lastRow="0" w:firstColumn="1" w:lastColumn="0" w:noHBand="0" w:noVBand="1"/>
            </w:tblPr>
            <w:tblGrid>
              <w:gridCol w:w="3625"/>
              <w:gridCol w:w="1049"/>
              <w:gridCol w:w="1049"/>
              <w:gridCol w:w="1049"/>
              <w:gridCol w:w="1049"/>
              <w:gridCol w:w="1049"/>
              <w:gridCol w:w="1119"/>
            </w:tblGrid>
            <w:tr w:rsidR="00100885" w:rsidRPr="00970F0E" w14:paraId="5C05998B" w14:textId="77777777" w:rsidTr="00100885">
              <w:trPr>
                <w:trHeight w:val="315"/>
                <w:jc w:val="center"/>
              </w:trPr>
              <w:tc>
                <w:tcPr>
                  <w:tcW w:w="1814" w:type="pct"/>
                  <w:shd w:val="clear" w:color="auto" w:fill="auto"/>
                  <w:noWrap/>
                  <w:vAlign w:val="center"/>
                  <w:hideMark/>
                </w:tcPr>
                <w:p w14:paraId="57911667" w14:textId="77777777" w:rsidR="00100885" w:rsidRPr="00100885" w:rsidRDefault="00100885" w:rsidP="00100885">
                  <w:pPr>
                    <w:rPr>
                      <w:rFonts w:asciiTheme="minorHAnsi" w:hAnsiTheme="minorHAnsi" w:cstheme="minorHAnsi"/>
                      <w:szCs w:val="24"/>
                    </w:rPr>
                  </w:pPr>
                </w:p>
              </w:tc>
              <w:tc>
                <w:tcPr>
                  <w:tcW w:w="525" w:type="pct"/>
                  <w:noWrap/>
                  <w:vAlign w:val="center"/>
                  <w:hideMark/>
                </w:tcPr>
                <w:p w14:paraId="741545C1" w14:textId="4FF646E8"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2024/25</w:t>
                  </w:r>
                </w:p>
              </w:tc>
              <w:tc>
                <w:tcPr>
                  <w:tcW w:w="525" w:type="pct"/>
                  <w:noWrap/>
                  <w:vAlign w:val="center"/>
                  <w:hideMark/>
                </w:tcPr>
                <w:p w14:paraId="6F22033B" w14:textId="61A04A23"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2025/26</w:t>
                  </w:r>
                </w:p>
              </w:tc>
              <w:tc>
                <w:tcPr>
                  <w:tcW w:w="525" w:type="pct"/>
                  <w:noWrap/>
                  <w:vAlign w:val="center"/>
                  <w:hideMark/>
                </w:tcPr>
                <w:p w14:paraId="06E2F409" w14:textId="57AEFDFE"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2026/27</w:t>
                  </w:r>
                </w:p>
              </w:tc>
              <w:tc>
                <w:tcPr>
                  <w:tcW w:w="525" w:type="pct"/>
                  <w:noWrap/>
                  <w:vAlign w:val="center"/>
                  <w:hideMark/>
                </w:tcPr>
                <w:p w14:paraId="4BB8ABA6" w14:textId="59B8B757"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2027/28</w:t>
                  </w:r>
                </w:p>
              </w:tc>
              <w:tc>
                <w:tcPr>
                  <w:tcW w:w="525" w:type="pct"/>
                  <w:vAlign w:val="center"/>
                </w:tcPr>
                <w:p w14:paraId="75369332" w14:textId="28456B77"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2028/29</w:t>
                  </w:r>
                </w:p>
              </w:tc>
              <w:tc>
                <w:tcPr>
                  <w:tcW w:w="562" w:type="pct"/>
                  <w:shd w:val="clear" w:color="auto" w:fill="auto"/>
                  <w:noWrap/>
                  <w:vAlign w:val="center"/>
                  <w:hideMark/>
                </w:tcPr>
                <w:p w14:paraId="73213545" w14:textId="3145988C"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i/>
                      <w:szCs w:val="24"/>
                    </w:rPr>
                    <w:t>Total</w:t>
                  </w:r>
                </w:p>
              </w:tc>
            </w:tr>
            <w:tr w:rsidR="00100885" w:rsidRPr="00970F0E" w14:paraId="791F29F3" w14:textId="77777777" w:rsidTr="00100885">
              <w:trPr>
                <w:trHeight w:val="315"/>
                <w:jc w:val="center"/>
              </w:trPr>
              <w:tc>
                <w:tcPr>
                  <w:tcW w:w="1814" w:type="pct"/>
                  <w:shd w:val="clear" w:color="auto" w:fill="auto"/>
                  <w:noWrap/>
                  <w:vAlign w:val="center"/>
                  <w:hideMark/>
                </w:tcPr>
                <w:p w14:paraId="5DE03E8A" w14:textId="77777777" w:rsidR="00100885" w:rsidRPr="00100885" w:rsidRDefault="00100885" w:rsidP="00100885">
                  <w:pPr>
                    <w:rPr>
                      <w:rFonts w:asciiTheme="minorHAnsi" w:hAnsiTheme="minorHAnsi" w:cstheme="minorHAnsi"/>
                      <w:bCs/>
                      <w:szCs w:val="24"/>
                    </w:rPr>
                  </w:pPr>
                </w:p>
              </w:tc>
              <w:tc>
                <w:tcPr>
                  <w:tcW w:w="525" w:type="pct"/>
                  <w:noWrap/>
                  <w:vAlign w:val="center"/>
                  <w:hideMark/>
                </w:tcPr>
                <w:p w14:paraId="7ECC1430" w14:textId="736D1037"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£m</w:t>
                  </w:r>
                </w:p>
              </w:tc>
              <w:tc>
                <w:tcPr>
                  <w:tcW w:w="525" w:type="pct"/>
                  <w:noWrap/>
                  <w:hideMark/>
                </w:tcPr>
                <w:p w14:paraId="762F7064" w14:textId="2DBEBAD7"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£m</w:t>
                  </w:r>
                </w:p>
              </w:tc>
              <w:tc>
                <w:tcPr>
                  <w:tcW w:w="525" w:type="pct"/>
                  <w:noWrap/>
                  <w:hideMark/>
                </w:tcPr>
                <w:p w14:paraId="14F7AF61" w14:textId="2A2E37D7"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£m</w:t>
                  </w:r>
                </w:p>
              </w:tc>
              <w:tc>
                <w:tcPr>
                  <w:tcW w:w="525" w:type="pct"/>
                  <w:noWrap/>
                  <w:hideMark/>
                </w:tcPr>
                <w:p w14:paraId="7D0FEA3C" w14:textId="6D263DAF"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£m</w:t>
                  </w:r>
                </w:p>
              </w:tc>
              <w:tc>
                <w:tcPr>
                  <w:tcW w:w="525" w:type="pct"/>
                </w:tcPr>
                <w:p w14:paraId="79A16FE9" w14:textId="39BEB72F"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szCs w:val="24"/>
                    </w:rPr>
                    <w:t>£m</w:t>
                  </w:r>
                </w:p>
              </w:tc>
              <w:tc>
                <w:tcPr>
                  <w:tcW w:w="562" w:type="pct"/>
                  <w:shd w:val="clear" w:color="auto" w:fill="auto"/>
                  <w:noWrap/>
                  <w:vAlign w:val="center"/>
                  <w:hideMark/>
                </w:tcPr>
                <w:p w14:paraId="3D802BDA" w14:textId="11BE69D2" w:rsidR="00100885" w:rsidRPr="00100885" w:rsidRDefault="00100885" w:rsidP="00100885">
                  <w:pPr>
                    <w:jc w:val="center"/>
                    <w:rPr>
                      <w:rFonts w:asciiTheme="minorHAnsi" w:hAnsiTheme="minorHAnsi" w:cstheme="minorHAnsi"/>
                      <w:b/>
                      <w:szCs w:val="24"/>
                    </w:rPr>
                  </w:pPr>
                  <w:r w:rsidRPr="00100885">
                    <w:rPr>
                      <w:rFonts w:asciiTheme="minorHAnsi" w:hAnsiTheme="minorHAnsi" w:cstheme="minorHAnsi"/>
                      <w:b/>
                      <w:i/>
                      <w:szCs w:val="24"/>
                    </w:rPr>
                    <w:t>£m</w:t>
                  </w:r>
                </w:p>
              </w:tc>
            </w:tr>
            <w:tr w:rsidR="00100885" w:rsidRPr="00970F0E" w14:paraId="7EEB9022" w14:textId="77777777" w:rsidTr="00100885">
              <w:trPr>
                <w:trHeight w:val="300"/>
                <w:jc w:val="center"/>
              </w:trPr>
              <w:tc>
                <w:tcPr>
                  <w:tcW w:w="1814" w:type="pct"/>
                  <w:shd w:val="clear" w:color="auto" w:fill="auto"/>
                  <w:noWrap/>
                  <w:vAlign w:val="center"/>
                  <w:hideMark/>
                </w:tcPr>
                <w:p w14:paraId="3B9954BA" w14:textId="640FE4AE" w:rsidR="00100885" w:rsidRPr="00100885" w:rsidRDefault="00100885" w:rsidP="00100885">
                  <w:pPr>
                    <w:rPr>
                      <w:rFonts w:asciiTheme="minorHAnsi" w:hAnsiTheme="minorHAnsi" w:cstheme="minorHAnsi"/>
                      <w:szCs w:val="24"/>
                    </w:rPr>
                  </w:pPr>
                  <w:r w:rsidRPr="00100885">
                    <w:rPr>
                      <w:rFonts w:asciiTheme="minorHAnsi" w:hAnsiTheme="minorHAnsi" w:cstheme="minorHAnsi"/>
                      <w:szCs w:val="24"/>
                    </w:rPr>
                    <w:t>IT Strategy</w:t>
                  </w:r>
                </w:p>
              </w:tc>
              <w:tc>
                <w:tcPr>
                  <w:tcW w:w="525" w:type="pct"/>
                  <w:noWrap/>
                  <w:vAlign w:val="center"/>
                </w:tcPr>
                <w:p w14:paraId="04542A62" w14:textId="2A763BA2"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8.324</w:t>
                  </w:r>
                </w:p>
              </w:tc>
              <w:tc>
                <w:tcPr>
                  <w:tcW w:w="525" w:type="pct"/>
                  <w:noWrap/>
                  <w:vAlign w:val="center"/>
                </w:tcPr>
                <w:p w14:paraId="2BEA97AB" w14:textId="1D99A410"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6.970</w:t>
                  </w:r>
                </w:p>
              </w:tc>
              <w:tc>
                <w:tcPr>
                  <w:tcW w:w="525" w:type="pct"/>
                  <w:noWrap/>
                </w:tcPr>
                <w:p w14:paraId="61C93916" w14:textId="39C28AB9"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7.000</w:t>
                  </w:r>
                </w:p>
              </w:tc>
              <w:tc>
                <w:tcPr>
                  <w:tcW w:w="525" w:type="pct"/>
                  <w:noWrap/>
                </w:tcPr>
                <w:p w14:paraId="7F9FE325" w14:textId="6B084404"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7.000</w:t>
                  </w:r>
                </w:p>
              </w:tc>
              <w:tc>
                <w:tcPr>
                  <w:tcW w:w="525" w:type="pct"/>
                </w:tcPr>
                <w:p w14:paraId="19B0CC3D" w14:textId="51D48AEB"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7.000</w:t>
                  </w:r>
                </w:p>
              </w:tc>
              <w:tc>
                <w:tcPr>
                  <w:tcW w:w="562" w:type="pct"/>
                  <w:shd w:val="clear" w:color="auto" w:fill="auto"/>
                  <w:noWrap/>
                  <w:vAlign w:val="center"/>
                </w:tcPr>
                <w:p w14:paraId="4D59890D" w14:textId="3E380BC3" w:rsidR="00100885" w:rsidRPr="00100885" w:rsidRDefault="00100885" w:rsidP="00100885">
                  <w:pPr>
                    <w:ind w:right="113"/>
                    <w:jc w:val="right"/>
                    <w:rPr>
                      <w:rFonts w:asciiTheme="majorHAnsi" w:hAnsiTheme="majorHAnsi" w:cstheme="majorHAnsi"/>
                      <w:szCs w:val="24"/>
                    </w:rPr>
                  </w:pPr>
                  <w:r w:rsidRPr="00100885">
                    <w:rPr>
                      <w:rFonts w:asciiTheme="majorHAnsi" w:hAnsiTheme="majorHAnsi" w:cstheme="majorHAnsi"/>
                      <w:b/>
                      <w:i/>
                      <w:szCs w:val="24"/>
                    </w:rPr>
                    <w:fldChar w:fldCharType="begin"/>
                  </w:r>
                  <w:r w:rsidRPr="00100885">
                    <w:rPr>
                      <w:rFonts w:asciiTheme="majorHAnsi" w:hAnsiTheme="majorHAnsi" w:cstheme="majorHAnsi"/>
                      <w:b/>
                      <w:i/>
                      <w:szCs w:val="24"/>
                    </w:rPr>
                    <w:instrText xml:space="preserve"> =SUM(LEFT) </w:instrText>
                  </w:r>
                  <w:r w:rsidRPr="00100885">
                    <w:rPr>
                      <w:rFonts w:asciiTheme="majorHAnsi" w:hAnsiTheme="majorHAnsi" w:cstheme="majorHAnsi"/>
                      <w:b/>
                      <w:i/>
                      <w:szCs w:val="24"/>
                    </w:rPr>
                    <w:fldChar w:fldCharType="separate"/>
                  </w:r>
                  <w:r w:rsidRPr="00100885">
                    <w:rPr>
                      <w:rFonts w:asciiTheme="majorHAnsi" w:hAnsiTheme="majorHAnsi" w:cstheme="majorHAnsi"/>
                      <w:b/>
                      <w:i/>
                      <w:noProof/>
                      <w:szCs w:val="24"/>
                    </w:rPr>
                    <w:t>36.294</w:t>
                  </w:r>
                  <w:r w:rsidRPr="00100885">
                    <w:rPr>
                      <w:rFonts w:asciiTheme="majorHAnsi" w:hAnsiTheme="majorHAnsi" w:cstheme="majorHAnsi"/>
                      <w:b/>
                      <w:i/>
                      <w:szCs w:val="24"/>
                    </w:rPr>
                    <w:fldChar w:fldCharType="end"/>
                  </w:r>
                </w:p>
              </w:tc>
            </w:tr>
            <w:tr w:rsidR="00100885" w:rsidRPr="00970F0E" w14:paraId="18285968" w14:textId="77777777" w:rsidTr="00100885">
              <w:trPr>
                <w:trHeight w:val="300"/>
                <w:jc w:val="center"/>
              </w:trPr>
              <w:tc>
                <w:tcPr>
                  <w:tcW w:w="1814" w:type="pct"/>
                  <w:shd w:val="clear" w:color="auto" w:fill="auto"/>
                  <w:noWrap/>
                  <w:vAlign w:val="center"/>
                  <w:hideMark/>
                </w:tcPr>
                <w:p w14:paraId="12C7D1C6" w14:textId="288B62C1" w:rsidR="00100885" w:rsidRPr="00100885" w:rsidRDefault="00100885" w:rsidP="00100885">
                  <w:pPr>
                    <w:rPr>
                      <w:rFonts w:asciiTheme="minorHAnsi" w:hAnsiTheme="minorHAnsi" w:cstheme="minorHAnsi"/>
                      <w:szCs w:val="24"/>
                    </w:rPr>
                  </w:pPr>
                  <w:r w:rsidRPr="00100885">
                    <w:rPr>
                      <w:rFonts w:asciiTheme="minorHAnsi" w:hAnsiTheme="minorHAnsi" w:cstheme="minorHAnsi"/>
                      <w:szCs w:val="24"/>
                    </w:rPr>
                    <w:t>Emergency Services Network (ESN)</w:t>
                  </w:r>
                </w:p>
              </w:tc>
              <w:tc>
                <w:tcPr>
                  <w:tcW w:w="525" w:type="pct"/>
                  <w:noWrap/>
                  <w:vAlign w:val="center"/>
                </w:tcPr>
                <w:p w14:paraId="16C749C9" w14:textId="04102BBA"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w:t>
                  </w:r>
                </w:p>
              </w:tc>
              <w:tc>
                <w:tcPr>
                  <w:tcW w:w="525" w:type="pct"/>
                  <w:noWrap/>
                  <w:vAlign w:val="center"/>
                </w:tcPr>
                <w:p w14:paraId="766667FA" w14:textId="3370AF25"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w:t>
                  </w:r>
                </w:p>
              </w:tc>
              <w:tc>
                <w:tcPr>
                  <w:tcW w:w="525" w:type="pct"/>
                  <w:noWrap/>
                  <w:vAlign w:val="center"/>
                </w:tcPr>
                <w:p w14:paraId="51AFD85B" w14:textId="50DB3A8D"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2.000</w:t>
                  </w:r>
                </w:p>
              </w:tc>
              <w:tc>
                <w:tcPr>
                  <w:tcW w:w="525" w:type="pct"/>
                  <w:noWrap/>
                  <w:vAlign w:val="center"/>
                </w:tcPr>
                <w:p w14:paraId="620C02AF" w14:textId="20E90A77"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4.000</w:t>
                  </w:r>
                </w:p>
              </w:tc>
              <w:tc>
                <w:tcPr>
                  <w:tcW w:w="525" w:type="pct"/>
                  <w:vAlign w:val="center"/>
                </w:tcPr>
                <w:p w14:paraId="1650A70E" w14:textId="59201886"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4.000</w:t>
                  </w:r>
                </w:p>
              </w:tc>
              <w:tc>
                <w:tcPr>
                  <w:tcW w:w="562" w:type="pct"/>
                  <w:shd w:val="clear" w:color="auto" w:fill="auto"/>
                  <w:noWrap/>
                  <w:vAlign w:val="center"/>
                </w:tcPr>
                <w:p w14:paraId="1D3BBF58" w14:textId="710AA34F" w:rsidR="00100885" w:rsidRPr="00100885" w:rsidRDefault="00100885" w:rsidP="00100885">
                  <w:pPr>
                    <w:ind w:right="113"/>
                    <w:jc w:val="right"/>
                    <w:rPr>
                      <w:rFonts w:asciiTheme="majorHAnsi" w:hAnsiTheme="majorHAnsi" w:cstheme="majorHAnsi"/>
                      <w:szCs w:val="24"/>
                    </w:rPr>
                  </w:pPr>
                  <w:r w:rsidRPr="00100885">
                    <w:rPr>
                      <w:rFonts w:asciiTheme="majorHAnsi" w:hAnsiTheme="majorHAnsi" w:cstheme="majorHAnsi"/>
                      <w:b/>
                      <w:i/>
                      <w:szCs w:val="24"/>
                    </w:rPr>
                    <w:fldChar w:fldCharType="begin"/>
                  </w:r>
                  <w:r w:rsidRPr="00100885">
                    <w:rPr>
                      <w:rFonts w:asciiTheme="majorHAnsi" w:hAnsiTheme="majorHAnsi" w:cstheme="majorHAnsi"/>
                      <w:b/>
                      <w:i/>
                      <w:szCs w:val="24"/>
                    </w:rPr>
                    <w:instrText xml:space="preserve"> =SUM(left) </w:instrText>
                  </w:r>
                  <w:r w:rsidRPr="00100885">
                    <w:rPr>
                      <w:rFonts w:asciiTheme="majorHAnsi" w:hAnsiTheme="majorHAnsi" w:cstheme="majorHAnsi"/>
                      <w:b/>
                      <w:i/>
                      <w:szCs w:val="24"/>
                    </w:rPr>
                    <w:fldChar w:fldCharType="separate"/>
                  </w:r>
                  <w:r w:rsidRPr="00100885">
                    <w:rPr>
                      <w:rFonts w:asciiTheme="majorHAnsi" w:hAnsiTheme="majorHAnsi" w:cstheme="majorHAnsi"/>
                      <w:b/>
                      <w:i/>
                      <w:noProof/>
                      <w:szCs w:val="24"/>
                    </w:rPr>
                    <w:t>10</w:t>
                  </w:r>
                  <w:r w:rsidRPr="00100885">
                    <w:rPr>
                      <w:rFonts w:asciiTheme="majorHAnsi" w:hAnsiTheme="majorHAnsi" w:cstheme="majorHAnsi"/>
                      <w:b/>
                      <w:i/>
                      <w:szCs w:val="24"/>
                    </w:rPr>
                    <w:fldChar w:fldCharType="end"/>
                  </w:r>
                  <w:r w:rsidRPr="00100885">
                    <w:rPr>
                      <w:rFonts w:asciiTheme="majorHAnsi" w:hAnsiTheme="majorHAnsi" w:cstheme="majorHAnsi"/>
                      <w:b/>
                      <w:i/>
                      <w:szCs w:val="24"/>
                    </w:rPr>
                    <w:t>.000</w:t>
                  </w:r>
                </w:p>
              </w:tc>
            </w:tr>
            <w:tr w:rsidR="00100885" w:rsidRPr="00970F0E" w14:paraId="7E0CBC5C" w14:textId="77777777" w:rsidTr="00100885">
              <w:trPr>
                <w:trHeight w:val="300"/>
                <w:jc w:val="center"/>
              </w:trPr>
              <w:tc>
                <w:tcPr>
                  <w:tcW w:w="1814" w:type="pct"/>
                  <w:shd w:val="clear" w:color="auto" w:fill="auto"/>
                  <w:noWrap/>
                  <w:vAlign w:val="center"/>
                  <w:hideMark/>
                </w:tcPr>
                <w:p w14:paraId="5EFAAB5E" w14:textId="5903C72F" w:rsidR="00100885" w:rsidRPr="00100885" w:rsidRDefault="00100885" w:rsidP="00100885">
                  <w:pPr>
                    <w:rPr>
                      <w:rFonts w:asciiTheme="minorHAnsi" w:hAnsiTheme="minorHAnsi" w:cstheme="minorHAnsi"/>
                      <w:szCs w:val="24"/>
                    </w:rPr>
                  </w:pPr>
                  <w:r w:rsidRPr="00100885">
                    <w:rPr>
                      <w:rFonts w:asciiTheme="minorHAnsi" w:hAnsiTheme="minorHAnsi" w:cstheme="minorHAnsi"/>
                      <w:szCs w:val="24"/>
                    </w:rPr>
                    <w:lastRenderedPageBreak/>
                    <w:t>Accommodation Strategy</w:t>
                  </w:r>
                </w:p>
              </w:tc>
              <w:tc>
                <w:tcPr>
                  <w:tcW w:w="525" w:type="pct"/>
                  <w:noWrap/>
                  <w:vAlign w:val="center"/>
                </w:tcPr>
                <w:p w14:paraId="518D2504" w14:textId="0F237327"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46.693</w:t>
                  </w:r>
                </w:p>
              </w:tc>
              <w:tc>
                <w:tcPr>
                  <w:tcW w:w="525" w:type="pct"/>
                  <w:noWrap/>
                  <w:vAlign w:val="center"/>
                </w:tcPr>
                <w:p w14:paraId="2ED1EB90" w14:textId="0F03ACD0"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50.102</w:t>
                  </w:r>
                </w:p>
              </w:tc>
              <w:tc>
                <w:tcPr>
                  <w:tcW w:w="525" w:type="pct"/>
                  <w:noWrap/>
                </w:tcPr>
                <w:p w14:paraId="4646B660" w14:textId="53DEDECF"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32.120</w:t>
                  </w:r>
                </w:p>
              </w:tc>
              <w:tc>
                <w:tcPr>
                  <w:tcW w:w="525" w:type="pct"/>
                  <w:noWrap/>
                </w:tcPr>
                <w:p w14:paraId="21CF4A28" w14:textId="03EEF751"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31.000</w:t>
                  </w:r>
                </w:p>
              </w:tc>
              <w:tc>
                <w:tcPr>
                  <w:tcW w:w="525" w:type="pct"/>
                </w:tcPr>
                <w:p w14:paraId="4B2683F5" w14:textId="6E224607"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31.000</w:t>
                  </w:r>
                </w:p>
              </w:tc>
              <w:tc>
                <w:tcPr>
                  <w:tcW w:w="562" w:type="pct"/>
                  <w:shd w:val="clear" w:color="auto" w:fill="auto"/>
                  <w:noWrap/>
                  <w:vAlign w:val="center"/>
                </w:tcPr>
                <w:p w14:paraId="065B77BA" w14:textId="04A8B9DA" w:rsidR="00100885" w:rsidRPr="00100885" w:rsidRDefault="00100885" w:rsidP="00100885">
                  <w:pPr>
                    <w:ind w:right="113"/>
                    <w:jc w:val="right"/>
                    <w:rPr>
                      <w:rFonts w:asciiTheme="majorHAnsi" w:hAnsiTheme="majorHAnsi" w:cstheme="majorHAnsi"/>
                      <w:szCs w:val="24"/>
                    </w:rPr>
                  </w:pPr>
                  <w:r w:rsidRPr="00100885">
                    <w:rPr>
                      <w:rFonts w:asciiTheme="majorHAnsi" w:hAnsiTheme="majorHAnsi" w:cstheme="majorHAnsi"/>
                      <w:b/>
                      <w:i/>
                      <w:szCs w:val="24"/>
                    </w:rPr>
                    <w:fldChar w:fldCharType="begin"/>
                  </w:r>
                  <w:r w:rsidRPr="00100885">
                    <w:rPr>
                      <w:rFonts w:asciiTheme="majorHAnsi" w:hAnsiTheme="majorHAnsi" w:cstheme="majorHAnsi"/>
                      <w:b/>
                      <w:i/>
                      <w:szCs w:val="24"/>
                    </w:rPr>
                    <w:instrText xml:space="preserve"> =SUM(left) </w:instrText>
                  </w:r>
                  <w:r w:rsidRPr="00100885">
                    <w:rPr>
                      <w:rFonts w:asciiTheme="majorHAnsi" w:hAnsiTheme="majorHAnsi" w:cstheme="majorHAnsi"/>
                      <w:b/>
                      <w:i/>
                      <w:szCs w:val="24"/>
                    </w:rPr>
                    <w:fldChar w:fldCharType="separate"/>
                  </w:r>
                  <w:r w:rsidRPr="00100885">
                    <w:rPr>
                      <w:rFonts w:asciiTheme="majorHAnsi" w:hAnsiTheme="majorHAnsi" w:cstheme="majorHAnsi"/>
                      <w:b/>
                      <w:i/>
                      <w:noProof/>
                      <w:szCs w:val="24"/>
                    </w:rPr>
                    <w:t>190.915</w:t>
                  </w:r>
                  <w:r w:rsidRPr="00100885">
                    <w:rPr>
                      <w:rFonts w:asciiTheme="majorHAnsi" w:hAnsiTheme="majorHAnsi" w:cstheme="majorHAnsi"/>
                      <w:b/>
                      <w:i/>
                      <w:szCs w:val="24"/>
                    </w:rPr>
                    <w:fldChar w:fldCharType="end"/>
                  </w:r>
                </w:p>
              </w:tc>
            </w:tr>
            <w:tr w:rsidR="00100885" w:rsidRPr="00970F0E" w14:paraId="18A421FF" w14:textId="77777777" w:rsidTr="00100885">
              <w:trPr>
                <w:trHeight w:val="300"/>
                <w:jc w:val="center"/>
              </w:trPr>
              <w:tc>
                <w:tcPr>
                  <w:tcW w:w="1814" w:type="pct"/>
                  <w:shd w:val="clear" w:color="auto" w:fill="auto"/>
                  <w:noWrap/>
                  <w:vAlign w:val="center"/>
                  <w:hideMark/>
                </w:tcPr>
                <w:p w14:paraId="49A3128D" w14:textId="78674AD9" w:rsidR="00100885" w:rsidRPr="00100885" w:rsidRDefault="00100885" w:rsidP="00100885">
                  <w:pPr>
                    <w:rPr>
                      <w:rFonts w:asciiTheme="minorHAnsi" w:hAnsiTheme="minorHAnsi" w:cstheme="minorHAnsi"/>
                      <w:szCs w:val="24"/>
                    </w:rPr>
                  </w:pPr>
                  <w:r w:rsidRPr="00100885">
                    <w:rPr>
                      <w:rFonts w:asciiTheme="minorHAnsi" w:hAnsiTheme="minorHAnsi" w:cstheme="minorHAnsi"/>
                      <w:szCs w:val="24"/>
                    </w:rPr>
                    <w:t>Vehicle Replacement</w:t>
                  </w:r>
                </w:p>
              </w:tc>
              <w:tc>
                <w:tcPr>
                  <w:tcW w:w="525" w:type="pct"/>
                  <w:noWrap/>
                  <w:vAlign w:val="center"/>
                </w:tcPr>
                <w:p w14:paraId="100B9241" w14:textId="3DC5ADF2"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5.700</w:t>
                  </w:r>
                </w:p>
              </w:tc>
              <w:tc>
                <w:tcPr>
                  <w:tcW w:w="525" w:type="pct"/>
                  <w:noWrap/>
                  <w:vAlign w:val="center"/>
                </w:tcPr>
                <w:p w14:paraId="26F671BA" w14:textId="47D8D755"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5.000</w:t>
                  </w:r>
                </w:p>
              </w:tc>
              <w:tc>
                <w:tcPr>
                  <w:tcW w:w="525" w:type="pct"/>
                  <w:noWrap/>
                </w:tcPr>
                <w:p w14:paraId="5775A331" w14:textId="27F31A2F"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4.000</w:t>
                  </w:r>
                </w:p>
              </w:tc>
              <w:tc>
                <w:tcPr>
                  <w:tcW w:w="525" w:type="pct"/>
                  <w:noWrap/>
                </w:tcPr>
                <w:p w14:paraId="57027899" w14:textId="1EA4769C"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4.000</w:t>
                  </w:r>
                </w:p>
              </w:tc>
              <w:tc>
                <w:tcPr>
                  <w:tcW w:w="525" w:type="pct"/>
                </w:tcPr>
                <w:p w14:paraId="0725DCC1" w14:textId="5AE5199E"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4.000</w:t>
                  </w:r>
                </w:p>
              </w:tc>
              <w:tc>
                <w:tcPr>
                  <w:tcW w:w="562" w:type="pct"/>
                  <w:shd w:val="clear" w:color="auto" w:fill="auto"/>
                  <w:noWrap/>
                  <w:vAlign w:val="center"/>
                </w:tcPr>
                <w:p w14:paraId="74EBE459" w14:textId="0B3947A8" w:rsidR="00100885" w:rsidRPr="00100885" w:rsidRDefault="00100885" w:rsidP="00100885">
                  <w:pPr>
                    <w:ind w:right="113"/>
                    <w:jc w:val="right"/>
                    <w:rPr>
                      <w:rFonts w:asciiTheme="majorHAnsi" w:hAnsiTheme="majorHAnsi" w:cstheme="majorHAnsi"/>
                      <w:szCs w:val="24"/>
                    </w:rPr>
                  </w:pPr>
                  <w:r w:rsidRPr="00100885">
                    <w:rPr>
                      <w:rFonts w:asciiTheme="majorHAnsi" w:hAnsiTheme="majorHAnsi" w:cstheme="majorHAnsi"/>
                      <w:b/>
                      <w:i/>
                      <w:szCs w:val="24"/>
                    </w:rPr>
                    <w:fldChar w:fldCharType="begin"/>
                  </w:r>
                  <w:r w:rsidRPr="00100885">
                    <w:rPr>
                      <w:rFonts w:asciiTheme="majorHAnsi" w:hAnsiTheme="majorHAnsi" w:cstheme="majorHAnsi"/>
                      <w:b/>
                      <w:i/>
                      <w:szCs w:val="24"/>
                    </w:rPr>
                    <w:instrText xml:space="preserve"> =SUM(left) </w:instrText>
                  </w:r>
                  <w:r w:rsidRPr="00100885">
                    <w:rPr>
                      <w:rFonts w:asciiTheme="majorHAnsi" w:hAnsiTheme="majorHAnsi" w:cstheme="majorHAnsi"/>
                      <w:b/>
                      <w:i/>
                      <w:szCs w:val="24"/>
                    </w:rPr>
                    <w:fldChar w:fldCharType="separate"/>
                  </w:r>
                  <w:r w:rsidRPr="00100885">
                    <w:rPr>
                      <w:rFonts w:asciiTheme="majorHAnsi" w:hAnsiTheme="majorHAnsi" w:cstheme="majorHAnsi"/>
                      <w:b/>
                      <w:i/>
                      <w:noProof/>
                      <w:szCs w:val="24"/>
                    </w:rPr>
                    <w:t>22.7</w:t>
                  </w:r>
                  <w:r w:rsidRPr="00100885">
                    <w:rPr>
                      <w:rFonts w:asciiTheme="majorHAnsi" w:hAnsiTheme="majorHAnsi" w:cstheme="majorHAnsi"/>
                      <w:b/>
                      <w:i/>
                      <w:szCs w:val="24"/>
                    </w:rPr>
                    <w:fldChar w:fldCharType="end"/>
                  </w:r>
                  <w:r w:rsidRPr="00100885">
                    <w:rPr>
                      <w:rFonts w:asciiTheme="majorHAnsi" w:hAnsiTheme="majorHAnsi" w:cstheme="majorHAnsi"/>
                      <w:b/>
                      <w:i/>
                      <w:szCs w:val="24"/>
                    </w:rPr>
                    <w:t>00</w:t>
                  </w:r>
                </w:p>
              </w:tc>
            </w:tr>
            <w:tr w:rsidR="00100885" w:rsidRPr="00970F0E" w14:paraId="15A7AB2C" w14:textId="77777777" w:rsidTr="00100885">
              <w:trPr>
                <w:trHeight w:val="300"/>
                <w:jc w:val="center"/>
              </w:trPr>
              <w:tc>
                <w:tcPr>
                  <w:tcW w:w="1814" w:type="pct"/>
                  <w:shd w:val="clear" w:color="auto" w:fill="auto"/>
                  <w:noWrap/>
                  <w:vAlign w:val="center"/>
                </w:tcPr>
                <w:p w14:paraId="3B2F5A6F" w14:textId="2880D7AB" w:rsidR="00100885" w:rsidRPr="00100885" w:rsidRDefault="00100885" w:rsidP="00100885">
                  <w:pPr>
                    <w:rPr>
                      <w:rFonts w:asciiTheme="minorHAnsi" w:hAnsiTheme="minorHAnsi" w:cstheme="minorHAnsi"/>
                      <w:szCs w:val="24"/>
                    </w:rPr>
                  </w:pPr>
                  <w:r w:rsidRPr="00100885">
                    <w:rPr>
                      <w:rFonts w:asciiTheme="minorHAnsi" w:hAnsiTheme="minorHAnsi" w:cstheme="minorHAnsi"/>
                      <w:szCs w:val="24"/>
                    </w:rPr>
                    <w:t>Other Schemes</w:t>
                  </w:r>
                </w:p>
              </w:tc>
              <w:tc>
                <w:tcPr>
                  <w:tcW w:w="525" w:type="pct"/>
                  <w:noWrap/>
                  <w:vAlign w:val="center"/>
                </w:tcPr>
                <w:p w14:paraId="22AD2EB1" w14:textId="01A9A2B1"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0.890</w:t>
                  </w:r>
                </w:p>
              </w:tc>
              <w:tc>
                <w:tcPr>
                  <w:tcW w:w="525" w:type="pct"/>
                  <w:noWrap/>
                  <w:vAlign w:val="center"/>
                </w:tcPr>
                <w:p w14:paraId="68E4F206" w14:textId="33994BBE"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0.870</w:t>
                  </w:r>
                </w:p>
              </w:tc>
              <w:tc>
                <w:tcPr>
                  <w:tcW w:w="525" w:type="pct"/>
                  <w:noWrap/>
                </w:tcPr>
                <w:p w14:paraId="3225B316" w14:textId="3FB3017C"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1.250</w:t>
                  </w:r>
                </w:p>
              </w:tc>
              <w:tc>
                <w:tcPr>
                  <w:tcW w:w="525" w:type="pct"/>
                  <w:noWrap/>
                </w:tcPr>
                <w:p w14:paraId="6B5423D6" w14:textId="08C3C5D3"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0.530</w:t>
                  </w:r>
                </w:p>
              </w:tc>
              <w:tc>
                <w:tcPr>
                  <w:tcW w:w="525" w:type="pct"/>
                </w:tcPr>
                <w:p w14:paraId="15EFC893" w14:textId="729B24E0" w:rsidR="00100885" w:rsidRPr="00100885" w:rsidRDefault="00100885" w:rsidP="00100885">
                  <w:pPr>
                    <w:ind w:right="113"/>
                    <w:jc w:val="right"/>
                    <w:rPr>
                      <w:rFonts w:asciiTheme="minorHAnsi" w:hAnsiTheme="minorHAnsi" w:cstheme="minorHAnsi"/>
                      <w:szCs w:val="24"/>
                    </w:rPr>
                  </w:pPr>
                  <w:r w:rsidRPr="00100885">
                    <w:rPr>
                      <w:rFonts w:asciiTheme="minorHAnsi" w:hAnsiTheme="minorHAnsi" w:cstheme="minorHAnsi"/>
                      <w:szCs w:val="24"/>
                    </w:rPr>
                    <w:t>0.490</w:t>
                  </w:r>
                </w:p>
              </w:tc>
              <w:tc>
                <w:tcPr>
                  <w:tcW w:w="562" w:type="pct"/>
                  <w:shd w:val="clear" w:color="auto" w:fill="auto"/>
                  <w:noWrap/>
                  <w:vAlign w:val="center"/>
                </w:tcPr>
                <w:p w14:paraId="2AEE5E62" w14:textId="42F1B360" w:rsidR="00100885" w:rsidRPr="00100885" w:rsidRDefault="00100885" w:rsidP="00100885">
                  <w:pPr>
                    <w:ind w:right="113"/>
                    <w:jc w:val="right"/>
                    <w:rPr>
                      <w:rFonts w:asciiTheme="majorHAnsi" w:hAnsiTheme="majorHAnsi" w:cstheme="majorHAnsi"/>
                      <w:szCs w:val="24"/>
                    </w:rPr>
                  </w:pPr>
                  <w:r w:rsidRPr="00100885">
                    <w:rPr>
                      <w:rFonts w:asciiTheme="majorHAnsi" w:hAnsiTheme="majorHAnsi" w:cstheme="majorHAnsi"/>
                      <w:b/>
                      <w:i/>
                      <w:szCs w:val="24"/>
                    </w:rPr>
                    <w:fldChar w:fldCharType="begin"/>
                  </w:r>
                  <w:r w:rsidRPr="00100885">
                    <w:rPr>
                      <w:rFonts w:asciiTheme="majorHAnsi" w:hAnsiTheme="majorHAnsi" w:cstheme="majorHAnsi"/>
                      <w:b/>
                      <w:i/>
                      <w:szCs w:val="24"/>
                    </w:rPr>
                    <w:instrText xml:space="preserve"> =SUM(left) </w:instrText>
                  </w:r>
                  <w:r w:rsidRPr="00100885">
                    <w:rPr>
                      <w:rFonts w:asciiTheme="majorHAnsi" w:hAnsiTheme="majorHAnsi" w:cstheme="majorHAnsi"/>
                      <w:b/>
                      <w:i/>
                      <w:szCs w:val="24"/>
                    </w:rPr>
                    <w:fldChar w:fldCharType="separate"/>
                  </w:r>
                  <w:r w:rsidRPr="00100885">
                    <w:rPr>
                      <w:rFonts w:asciiTheme="majorHAnsi" w:hAnsiTheme="majorHAnsi" w:cstheme="majorHAnsi"/>
                      <w:b/>
                      <w:i/>
                      <w:noProof/>
                      <w:szCs w:val="24"/>
                    </w:rPr>
                    <w:t>4.03</w:t>
                  </w:r>
                  <w:r w:rsidRPr="00100885">
                    <w:rPr>
                      <w:rFonts w:asciiTheme="majorHAnsi" w:hAnsiTheme="majorHAnsi" w:cstheme="majorHAnsi"/>
                      <w:b/>
                      <w:i/>
                      <w:szCs w:val="24"/>
                    </w:rPr>
                    <w:fldChar w:fldCharType="end"/>
                  </w:r>
                  <w:r w:rsidRPr="00100885">
                    <w:rPr>
                      <w:rFonts w:asciiTheme="majorHAnsi" w:hAnsiTheme="majorHAnsi" w:cstheme="majorHAnsi"/>
                      <w:b/>
                      <w:i/>
                      <w:szCs w:val="24"/>
                    </w:rPr>
                    <w:t>0</w:t>
                  </w:r>
                </w:p>
              </w:tc>
            </w:tr>
            <w:tr w:rsidR="00100885" w:rsidRPr="00970F0E" w14:paraId="483DE8FC" w14:textId="77777777" w:rsidTr="00100885">
              <w:trPr>
                <w:trHeight w:val="315"/>
                <w:jc w:val="center"/>
              </w:trPr>
              <w:tc>
                <w:tcPr>
                  <w:tcW w:w="1814" w:type="pct"/>
                  <w:noWrap/>
                  <w:vAlign w:val="center"/>
                  <w:hideMark/>
                </w:tcPr>
                <w:p w14:paraId="0BA7492D" w14:textId="1B28D8FF" w:rsidR="00100885" w:rsidRPr="0085514D" w:rsidRDefault="00100885" w:rsidP="00100885">
                  <w:pPr>
                    <w:rPr>
                      <w:rFonts w:ascii="Calibri Light" w:hAnsi="Calibri Light" w:cs="Times New Roman"/>
                      <w:b/>
                      <w:szCs w:val="24"/>
                    </w:rPr>
                  </w:pPr>
                  <w:r w:rsidRPr="0085514D">
                    <w:rPr>
                      <w:rFonts w:ascii="Calibri Light" w:hAnsi="Calibri Light" w:cs="Times New Roman"/>
                      <w:b/>
                      <w:szCs w:val="24"/>
                    </w:rPr>
                    <w:t xml:space="preserve">TOTAL </w:t>
                  </w:r>
                </w:p>
              </w:tc>
              <w:tc>
                <w:tcPr>
                  <w:tcW w:w="525" w:type="pct"/>
                  <w:noWrap/>
                  <w:vAlign w:val="center"/>
                </w:tcPr>
                <w:p w14:paraId="2BAEF1CE" w14:textId="58AB614E" w:rsidR="00100885" w:rsidRPr="0085514D" w:rsidRDefault="00100885" w:rsidP="00100885">
                  <w:pPr>
                    <w:ind w:right="113"/>
                    <w:jc w:val="right"/>
                    <w:rPr>
                      <w:rFonts w:ascii="Calibri Light" w:hAnsi="Calibri Light" w:cs="Times New Roman"/>
                      <w:b/>
                      <w:szCs w:val="24"/>
                    </w:rPr>
                  </w:pPr>
                  <w:r>
                    <w:rPr>
                      <w:rFonts w:ascii="Calibri Light" w:hAnsi="Calibri Light" w:cs="Times New Roman"/>
                      <w:b/>
                      <w:szCs w:val="24"/>
                    </w:rPr>
                    <w:fldChar w:fldCharType="begin"/>
                  </w:r>
                  <w:r>
                    <w:rPr>
                      <w:rFonts w:ascii="Calibri Light" w:hAnsi="Calibri Light" w:cs="Times New Roman"/>
                      <w:b/>
                      <w:szCs w:val="24"/>
                    </w:rPr>
                    <w:instrText xml:space="preserve"> =SUM(ABOVE) </w:instrText>
                  </w:r>
                  <w:r>
                    <w:rPr>
                      <w:rFonts w:ascii="Calibri Light" w:hAnsi="Calibri Light" w:cs="Times New Roman"/>
                      <w:b/>
                      <w:szCs w:val="24"/>
                    </w:rPr>
                    <w:fldChar w:fldCharType="separate"/>
                  </w:r>
                  <w:r>
                    <w:rPr>
                      <w:rFonts w:ascii="Calibri Light" w:hAnsi="Calibri Light" w:cs="Times New Roman"/>
                      <w:b/>
                      <w:noProof/>
                      <w:szCs w:val="24"/>
                    </w:rPr>
                    <w:t>61.607</w:t>
                  </w:r>
                  <w:r>
                    <w:rPr>
                      <w:rFonts w:ascii="Calibri Light" w:hAnsi="Calibri Light" w:cs="Times New Roman"/>
                      <w:b/>
                      <w:szCs w:val="24"/>
                    </w:rPr>
                    <w:fldChar w:fldCharType="end"/>
                  </w:r>
                </w:p>
              </w:tc>
              <w:tc>
                <w:tcPr>
                  <w:tcW w:w="525" w:type="pct"/>
                  <w:noWrap/>
                  <w:vAlign w:val="center"/>
                </w:tcPr>
                <w:p w14:paraId="717F36FC" w14:textId="72741094" w:rsidR="00100885" w:rsidRPr="0085514D" w:rsidRDefault="00100885" w:rsidP="00100885">
                  <w:pPr>
                    <w:ind w:right="113"/>
                    <w:jc w:val="right"/>
                    <w:rPr>
                      <w:rFonts w:ascii="Calibri Light" w:hAnsi="Calibri Light" w:cs="Times New Roman"/>
                      <w:b/>
                      <w:szCs w:val="24"/>
                    </w:rPr>
                  </w:pPr>
                  <w:r>
                    <w:rPr>
                      <w:rFonts w:ascii="Calibri Light" w:hAnsi="Calibri Light" w:cs="Times New Roman"/>
                      <w:b/>
                      <w:szCs w:val="24"/>
                    </w:rPr>
                    <w:fldChar w:fldCharType="begin"/>
                  </w:r>
                  <w:r>
                    <w:rPr>
                      <w:rFonts w:ascii="Calibri Light" w:hAnsi="Calibri Light" w:cs="Times New Roman"/>
                      <w:b/>
                      <w:szCs w:val="24"/>
                    </w:rPr>
                    <w:instrText xml:space="preserve"> =SUM(ABOVE) </w:instrText>
                  </w:r>
                  <w:r>
                    <w:rPr>
                      <w:rFonts w:ascii="Calibri Light" w:hAnsi="Calibri Light" w:cs="Times New Roman"/>
                      <w:b/>
                      <w:szCs w:val="24"/>
                    </w:rPr>
                    <w:fldChar w:fldCharType="separate"/>
                  </w:r>
                  <w:r>
                    <w:rPr>
                      <w:rFonts w:ascii="Calibri Light" w:hAnsi="Calibri Light" w:cs="Times New Roman"/>
                      <w:b/>
                      <w:noProof/>
                      <w:szCs w:val="24"/>
                    </w:rPr>
                    <w:t>62.942</w:t>
                  </w:r>
                  <w:r>
                    <w:rPr>
                      <w:rFonts w:ascii="Calibri Light" w:hAnsi="Calibri Light" w:cs="Times New Roman"/>
                      <w:b/>
                      <w:szCs w:val="24"/>
                    </w:rPr>
                    <w:fldChar w:fldCharType="end"/>
                  </w:r>
                </w:p>
              </w:tc>
              <w:tc>
                <w:tcPr>
                  <w:tcW w:w="525" w:type="pct"/>
                  <w:noWrap/>
                  <w:vAlign w:val="center"/>
                </w:tcPr>
                <w:p w14:paraId="386D68DE" w14:textId="33F3A90F" w:rsidR="00100885" w:rsidRPr="0085514D" w:rsidRDefault="00100885" w:rsidP="00100885">
                  <w:pPr>
                    <w:ind w:right="113"/>
                    <w:jc w:val="right"/>
                    <w:rPr>
                      <w:rFonts w:ascii="Calibri Light" w:hAnsi="Calibri Light" w:cs="Times New Roman"/>
                      <w:b/>
                      <w:szCs w:val="24"/>
                    </w:rPr>
                  </w:pPr>
                  <w:r>
                    <w:rPr>
                      <w:rFonts w:ascii="Calibri Light" w:hAnsi="Calibri Light" w:cs="Times New Roman"/>
                      <w:b/>
                      <w:szCs w:val="24"/>
                    </w:rPr>
                    <w:fldChar w:fldCharType="begin"/>
                  </w:r>
                  <w:r>
                    <w:rPr>
                      <w:rFonts w:ascii="Calibri Light" w:hAnsi="Calibri Light" w:cs="Times New Roman"/>
                      <w:b/>
                      <w:szCs w:val="24"/>
                    </w:rPr>
                    <w:instrText xml:space="preserve"> =SUM(ABOVE) </w:instrText>
                  </w:r>
                  <w:r>
                    <w:rPr>
                      <w:rFonts w:ascii="Calibri Light" w:hAnsi="Calibri Light" w:cs="Times New Roman"/>
                      <w:b/>
                      <w:szCs w:val="24"/>
                    </w:rPr>
                    <w:fldChar w:fldCharType="separate"/>
                  </w:r>
                  <w:r>
                    <w:rPr>
                      <w:rFonts w:ascii="Calibri Light" w:hAnsi="Calibri Light" w:cs="Times New Roman"/>
                      <w:b/>
                      <w:noProof/>
                      <w:szCs w:val="24"/>
                    </w:rPr>
                    <w:t>46.37</w:t>
                  </w:r>
                  <w:r>
                    <w:rPr>
                      <w:rFonts w:ascii="Calibri Light" w:hAnsi="Calibri Light" w:cs="Times New Roman"/>
                      <w:b/>
                      <w:szCs w:val="24"/>
                    </w:rPr>
                    <w:fldChar w:fldCharType="end"/>
                  </w:r>
                  <w:r>
                    <w:rPr>
                      <w:rFonts w:ascii="Calibri Light" w:hAnsi="Calibri Light" w:cs="Times New Roman"/>
                      <w:b/>
                      <w:szCs w:val="24"/>
                    </w:rPr>
                    <w:t>0</w:t>
                  </w:r>
                </w:p>
              </w:tc>
              <w:tc>
                <w:tcPr>
                  <w:tcW w:w="525" w:type="pct"/>
                  <w:noWrap/>
                  <w:vAlign w:val="center"/>
                </w:tcPr>
                <w:p w14:paraId="585CE849" w14:textId="2EFE9C64" w:rsidR="00100885" w:rsidRPr="0085514D" w:rsidRDefault="00100885" w:rsidP="00100885">
                  <w:pPr>
                    <w:ind w:right="113"/>
                    <w:jc w:val="right"/>
                    <w:rPr>
                      <w:rFonts w:ascii="Calibri Light" w:hAnsi="Calibri Light" w:cs="Times New Roman"/>
                      <w:b/>
                      <w:szCs w:val="24"/>
                    </w:rPr>
                  </w:pPr>
                  <w:r>
                    <w:rPr>
                      <w:rFonts w:ascii="Calibri Light" w:hAnsi="Calibri Light" w:cs="Times New Roman"/>
                      <w:b/>
                      <w:szCs w:val="24"/>
                    </w:rPr>
                    <w:fldChar w:fldCharType="begin"/>
                  </w:r>
                  <w:r>
                    <w:rPr>
                      <w:rFonts w:ascii="Calibri Light" w:hAnsi="Calibri Light" w:cs="Times New Roman"/>
                      <w:b/>
                      <w:szCs w:val="24"/>
                    </w:rPr>
                    <w:instrText xml:space="preserve"> =SUM(ABOVE) </w:instrText>
                  </w:r>
                  <w:r>
                    <w:rPr>
                      <w:rFonts w:ascii="Calibri Light" w:hAnsi="Calibri Light" w:cs="Times New Roman"/>
                      <w:b/>
                      <w:szCs w:val="24"/>
                    </w:rPr>
                    <w:fldChar w:fldCharType="separate"/>
                  </w:r>
                  <w:r>
                    <w:rPr>
                      <w:rFonts w:ascii="Calibri Light" w:hAnsi="Calibri Light" w:cs="Times New Roman"/>
                      <w:b/>
                      <w:noProof/>
                      <w:szCs w:val="24"/>
                    </w:rPr>
                    <w:t>46.53</w:t>
                  </w:r>
                  <w:r>
                    <w:rPr>
                      <w:rFonts w:ascii="Calibri Light" w:hAnsi="Calibri Light" w:cs="Times New Roman"/>
                      <w:b/>
                      <w:szCs w:val="24"/>
                    </w:rPr>
                    <w:fldChar w:fldCharType="end"/>
                  </w:r>
                  <w:r>
                    <w:rPr>
                      <w:rFonts w:ascii="Calibri Light" w:hAnsi="Calibri Light" w:cs="Times New Roman"/>
                      <w:b/>
                      <w:szCs w:val="24"/>
                    </w:rPr>
                    <w:t>0</w:t>
                  </w:r>
                </w:p>
              </w:tc>
              <w:tc>
                <w:tcPr>
                  <w:tcW w:w="525" w:type="pct"/>
                  <w:vAlign w:val="center"/>
                </w:tcPr>
                <w:p w14:paraId="617FE2FC" w14:textId="7ADF1744" w:rsidR="00100885" w:rsidRPr="0085514D" w:rsidRDefault="00100885" w:rsidP="00100885">
                  <w:pPr>
                    <w:ind w:right="113"/>
                    <w:jc w:val="right"/>
                    <w:rPr>
                      <w:rFonts w:ascii="Calibri Light" w:hAnsi="Calibri Light" w:cs="Times New Roman"/>
                      <w:b/>
                      <w:szCs w:val="24"/>
                    </w:rPr>
                  </w:pPr>
                  <w:r>
                    <w:rPr>
                      <w:rFonts w:ascii="Calibri Light" w:hAnsi="Calibri Light" w:cs="Times New Roman"/>
                      <w:b/>
                      <w:szCs w:val="24"/>
                    </w:rPr>
                    <w:fldChar w:fldCharType="begin"/>
                  </w:r>
                  <w:r>
                    <w:rPr>
                      <w:rFonts w:ascii="Calibri Light" w:hAnsi="Calibri Light" w:cs="Times New Roman"/>
                      <w:b/>
                      <w:szCs w:val="24"/>
                    </w:rPr>
                    <w:instrText xml:space="preserve"> =SUM(ABOVE) </w:instrText>
                  </w:r>
                  <w:r>
                    <w:rPr>
                      <w:rFonts w:ascii="Calibri Light" w:hAnsi="Calibri Light" w:cs="Times New Roman"/>
                      <w:b/>
                      <w:szCs w:val="24"/>
                    </w:rPr>
                    <w:fldChar w:fldCharType="separate"/>
                  </w:r>
                  <w:r>
                    <w:rPr>
                      <w:rFonts w:ascii="Calibri Light" w:hAnsi="Calibri Light" w:cs="Times New Roman"/>
                      <w:b/>
                      <w:noProof/>
                      <w:szCs w:val="24"/>
                    </w:rPr>
                    <w:t>46.49</w:t>
                  </w:r>
                  <w:r>
                    <w:rPr>
                      <w:rFonts w:ascii="Calibri Light" w:hAnsi="Calibri Light" w:cs="Times New Roman"/>
                      <w:b/>
                      <w:szCs w:val="24"/>
                    </w:rPr>
                    <w:fldChar w:fldCharType="end"/>
                  </w:r>
                  <w:r>
                    <w:rPr>
                      <w:rFonts w:ascii="Calibri Light" w:hAnsi="Calibri Light" w:cs="Times New Roman"/>
                      <w:b/>
                      <w:szCs w:val="24"/>
                    </w:rPr>
                    <w:t>0</w:t>
                  </w:r>
                </w:p>
              </w:tc>
              <w:tc>
                <w:tcPr>
                  <w:tcW w:w="562" w:type="pct"/>
                  <w:noWrap/>
                  <w:vAlign w:val="center"/>
                </w:tcPr>
                <w:p w14:paraId="0BCCBB66" w14:textId="6873CBB1" w:rsidR="00100885" w:rsidRPr="00100885" w:rsidRDefault="00100885" w:rsidP="00100885">
                  <w:pPr>
                    <w:ind w:right="113"/>
                    <w:jc w:val="right"/>
                    <w:rPr>
                      <w:rFonts w:ascii="Calibri Light" w:hAnsi="Calibri Light" w:cs="Times New Roman"/>
                      <w:b/>
                      <w:szCs w:val="24"/>
                    </w:rPr>
                  </w:pPr>
                  <w:r w:rsidRPr="00100885">
                    <w:rPr>
                      <w:rFonts w:ascii="Calibri Light" w:hAnsi="Calibri Light" w:cs="Times New Roman"/>
                      <w:b/>
                      <w:szCs w:val="24"/>
                    </w:rPr>
                    <w:fldChar w:fldCharType="begin"/>
                  </w:r>
                  <w:r w:rsidRPr="00100885">
                    <w:rPr>
                      <w:rFonts w:ascii="Calibri Light" w:hAnsi="Calibri Light" w:cs="Times New Roman"/>
                      <w:b/>
                      <w:szCs w:val="24"/>
                    </w:rPr>
                    <w:instrText xml:space="preserve"> =SUM(ABOVE) </w:instrText>
                  </w:r>
                  <w:r w:rsidRPr="00100885">
                    <w:rPr>
                      <w:rFonts w:ascii="Calibri Light" w:hAnsi="Calibri Light" w:cs="Times New Roman"/>
                      <w:b/>
                      <w:szCs w:val="24"/>
                    </w:rPr>
                    <w:fldChar w:fldCharType="separate"/>
                  </w:r>
                  <w:r w:rsidRPr="00100885">
                    <w:rPr>
                      <w:rFonts w:ascii="Calibri Light" w:hAnsi="Calibri Light" w:cs="Times New Roman"/>
                      <w:b/>
                      <w:noProof/>
                      <w:szCs w:val="24"/>
                    </w:rPr>
                    <w:t>263.939</w:t>
                  </w:r>
                  <w:r w:rsidRPr="00100885">
                    <w:rPr>
                      <w:rFonts w:ascii="Calibri Light" w:hAnsi="Calibri Light" w:cs="Times New Roman"/>
                      <w:b/>
                      <w:szCs w:val="24"/>
                    </w:rPr>
                    <w:fldChar w:fldCharType="end"/>
                  </w:r>
                </w:p>
              </w:tc>
            </w:tr>
          </w:tbl>
          <w:p w14:paraId="0A1FD67B" w14:textId="77777777" w:rsidR="004E6102" w:rsidRPr="00970F0E" w:rsidRDefault="004E6102" w:rsidP="0085514D">
            <w:pPr>
              <w:autoSpaceDE w:val="0"/>
              <w:autoSpaceDN w:val="0"/>
              <w:adjustRightInd w:val="0"/>
              <w:rPr>
                <w:rFonts w:ascii="Calibri Light" w:eastAsia="Calibri" w:hAnsi="Calibri Light"/>
                <w:bCs/>
                <w:color w:val="000000"/>
                <w:szCs w:val="24"/>
                <w:lang w:eastAsia="en-US"/>
              </w:rPr>
            </w:pPr>
          </w:p>
          <w:p w14:paraId="0273D260" w14:textId="3F0711E3"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From this forecast, it is </w:t>
            </w:r>
            <w:r>
              <w:rPr>
                <w:rFonts w:ascii="Calibri Light" w:eastAsia="Calibri" w:hAnsi="Calibri Light"/>
                <w:bCs/>
                <w:color w:val="000000"/>
                <w:szCs w:val="24"/>
                <w:lang w:eastAsia="en-US"/>
              </w:rPr>
              <w:t>anticipated</w:t>
            </w:r>
            <w:r w:rsidRPr="00970F0E">
              <w:rPr>
                <w:rFonts w:ascii="Calibri Light" w:eastAsia="Calibri" w:hAnsi="Calibri Light"/>
                <w:bCs/>
                <w:color w:val="000000"/>
                <w:szCs w:val="24"/>
                <w:lang w:eastAsia="en-US"/>
              </w:rPr>
              <w:t xml:space="preserve"> tha</w:t>
            </w:r>
            <w:r>
              <w:rPr>
                <w:rFonts w:ascii="Calibri Light" w:eastAsia="Calibri" w:hAnsi="Calibri Light"/>
                <w:bCs/>
                <w:color w:val="000000"/>
                <w:szCs w:val="24"/>
                <w:lang w:eastAsia="en-US"/>
              </w:rPr>
              <w:t>t the specific reserve set aside for funding the capital programme</w:t>
            </w:r>
            <w:r w:rsidRPr="00970F0E">
              <w:rPr>
                <w:rFonts w:ascii="Calibri Light" w:eastAsia="Calibri" w:hAnsi="Calibri Light"/>
                <w:bCs/>
                <w:color w:val="000000"/>
                <w:szCs w:val="24"/>
                <w:lang w:eastAsia="en-US"/>
              </w:rPr>
              <w:t xml:space="preserve"> will be used </w:t>
            </w:r>
            <w:r>
              <w:rPr>
                <w:rFonts w:ascii="Calibri Light" w:eastAsia="Calibri" w:hAnsi="Calibri Light"/>
                <w:bCs/>
                <w:color w:val="000000"/>
                <w:szCs w:val="24"/>
                <w:lang w:eastAsia="en-US"/>
              </w:rPr>
              <w:t>in 202</w:t>
            </w:r>
            <w:r w:rsidR="00A36BB1">
              <w:rPr>
                <w:rFonts w:ascii="Calibri Light" w:eastAsia="Calibri" w:hAnsi="Calibri Light"/>
                <w:bCs/>
                <w:color w:val="000000"/>
                <w:szCs w:val="24"/>
                <w:lang w:eastAsia="en-US"/>
              </w:rPr>
              <w:t>4</w:t>
            </w:r>
            <w:r w:rsidR="00403F9C">
              <w:rPr>
                <w:rFonts w:ascii="Calibri Light" w:eastAsia="Calibri" w:hAnsi="Calibri Light"/>
                <w:bCs/>
                <w:color w:val="000000"/>
                <w:szCs w:val="24"/>
                <w:lang w:eastAsia="en-US"/>
              </w:rPr>
              <w:t>/25</w:t>
            </w:r>
            <w:r w:rsidRPr="00970F0E">
              <w:rPr>
                <w:rFonts w:ascii="Calibri Light" w:eastAsia="Calibri" w:hAnsi="Calibri Light"/>
                <w:bCs/>
                <w:color w:val="000000"/>
                <w:szCs w:val="24"/>
                <w:lang w:eastAsia="en-US"/>
              </w:rPr>
              <w:t>. The Commissioner and Chief Constable will consider alternative sources of funding to meet the financing g</w:t>
            </w:r>
            <w:r>
              <w:rPr>
                <w:rFonts w:ascii="Calibri Light" w:eastAsia="Calibri" w:hAnsi="Calibri Light"/>
                <w:bCs/>
                <w:color w:val="000000"/>
                <w:szCs w:val="24"/>
                <w:lang w:eastAsia="en-US"/>
              </w:rPr>
              <w:t>ap identified in</w:t>
            </w:r>
            <w:r w:rsidR="00A36BB1">
              <w:rPr>
                <w:rFonts w:ascii="Calibri Light" w:eastAsia="Calibri" w:hAnsi="Calibri Light"/>
                <w:bCs/>
                <w:color w:val="000000"/>
                <w:szCs w:val="24"/>
                <w:lang w:eastAsia="en-US"/>
              </w:rPr>
              <w:t xml:space="preserve"> </w:t>
            </w:r>
            <w:r>
              <w:rPr>
                <w:rFonts w:ascii="Calibri Light" w:eastAsia="Calibri" w:hAnsi="Calibri Light"/>
                <w:bCs/>
                <w:color w:val="000000"/>
                <w:szCs w:val="24"/>
                <w:lang w:eastAsia="en-US"/>
              </w:rPr>
              <w:t>future years</w:t>
            </w:r>
            <w:r w:rsidRPr="00970F0E">
              <w:rPr>
                <w:rFonts w:ascii="Calibri Light" w:eastAsia="Calibri" w:hAnsi="Calibri Light"/>
                <w:bCs/>
                <w:color w:val="000000"/>
                <w:szCs w:val="24"/>
                <w:lang w:eastAsia="en-US"/>
              </w:rPr>
              <w:t>.</w:t>
            </w:r>
            <w:r>
              <w:rPr>
                <w:rFonts w:ascii="Calibri Light" w:eastAsia="Calibri" w:hAnsi="Calibri Light"/>
                <w:bCs/>
                <w:color w:val="000000"/>
                <w:szCs w:val="24"/>
                <w:lang w:eastAsia="en-US"/>
              </w:rPr>
              <w:t xml:space="preserve"> The PCC and Chief Constable will also consider opportunities to set aside funding in the</w:t>
            </w:r>
            <w:r w:rsidR="000F2C76">
              <w:rPr>
                <w:rFonts w:ascii="Calibri Light" w:eastAsia="Calibri" w:hAnsi="Calibri Light"/>
                <w:bCs/>
                <w:color w:val="000000"/>
                <w:szCs w:val="24"/>
                <w:lang w:eastAsia="en-US"/>
              </w:rPr>
              <w:t xml:space="preserve"> </w:t>
            </w:r>
            <w:r w:rsidR="00A36BB1">
              <w:rPr>
                <w:rFonts w:ascii="Calibri Light" w:eastAsia="Calibri" w:hAnsi="Calibri Light"/>
                <w:bCs/>
                <w:color w:val="000000"/>
                <w:szCs w:val="24"/>
                <w:lang w:eastAsia="en-US"/>
              </w:rPr>
              <w:t>transition</w:t>
            </w:r>
            <w:r>
              <w:rPr>
                <w:rFonts w:ascii="Calibri Light" w:eastAsia="Calibri" w:hAnsi="Calibri Light"/>
                <w:bCs/>
                <w:color w:val="000000"/>
                <w:szCs w:val="24"/>
                <w:lang w:eastAsia="en-US"/>
              </w:rPr>
              <w:t xml:space="preserve"> reserve for future years investment where possible.</w:t>
            </w:r>
          </w:p>
          <w:p w14:paraId="305A6E5D"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As specific reserves are limited, it is </w:t>
            </w:r>
            <w:r w:rsidRPr="00970F0E">
              <w:rPr>
                <w:rFonts w:ascii="Calibri Light" w:eastAsia="Calibri" w:hAnsi="Calibri Light"/>
                <w:b/>
                <w:bCs/>
                <w:color w:val="000000"/>
                <w:szCs w:val="24"/>
                <w:u w:val="single"/>
                <w:lang w:eastAsia="en-US"/>
              </w:rPr>
              <w:t>recommended that the Commissioner review the reserves strategy on an annual basis.</w:t>
            </w:r>
          </w:p>
          <w:p w14:paraId="1848B630"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It is </w:t>
            </w:r>
            <w:r w:rsidRPr="00970F0E">
              <w:rPr>
                <w:rFonts w:ascii="Calibri Light" w:eastAsia="Calibri" w:hAnsi="Calibri Light"/>
                <w:b/>
                <w:bCs/>
                <w:color w:val="000000"/>
                <w:szCs w:val="24"/>
                <w:u w:val="single"/>
                <w:lang w:eastAsia="en-US"/>
              </w:rPr>
              <w:t>recommended that the Commissioner contribute into specific reserves if the opportunity arises.</w:t>
            </w:r>
          </w:p>
          <w:p w14:paraId="38821618" w14:textId="77777777" w:rsidR="004E6102" w:rsidRPr="00970F0E" w:rsidRDefault="004E6102" w:rsidP="004E6102">
            <w:pPr>
              <w:spacing w:after="160" w:line="259" w:lineRule="auto"/>
              <w:rPr>
                <w:rFonts w:ascii="Calibri Light" w:eastAsia="Calibri" w:hAnsi="Calibri Light" w:cs="Times New Roman"/>
                <w:szCs w:val="24"/>
                <w:lang w:eastAsia="en-US"/>
              </w:rPr>
            </w:pPr>
          </w:p>
          <w:p w14:paraId="71967B92" w14:textId="77777777" w:rsidR="004E6102" w:rsidRPr="00970F0E" w:rsidRDefault="004E6102" w:rsidP="004E6102">
            <w:pPr>
              <w:numPr>
                <w:ilvl w:val="0"/>
                <w:numId w:val="44"/>
              </w:numPr>
              <w:autoSpaceDE w:val="0"/>
              <w:autoSpaceDN w:val="0"/>
              <w:adjustRightInd w:val="0"/>
              <w:spacing w:after="120" w:line="259" w:lineRule="auto"/>
              <w:rPr>
                <w:rFonts w:ascii="Calibri Light" w:eastAsia="Calibri" w:hAnsi="Calibri Light"/>
                <w:b/>
                <w:bCs/>
                <w:color w:val="000000"/>
                <w:szCs w:val="24"/>
                <w:lang w:eastAsia="en-US"/>
              </w:rPr>
            </w:pPr>
            <w:r w:rsidRPr="00970F0E">
              <w:rPr>
                <w:rFonts w:ascii="Calibri Light" w:eastAsia="Calibri" w:hAnsi="Calibri Light"/>
                <w:b/>
                <w:bCs/>
                <w:color w:val="000000"/>
                <w:szCs w:val="24"/>
                <w:lang w:eastAsia="en-US"/>
              </w:rPr>
              <w:t xml:space="preserve"> Risks</w:t>
            </w:r>
          </w:p>
          <w:p w14:paraId="350F7C9C" w14:textId="77777777" w:rsidR="004E6102" w:rsidRPr="00970F0E"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 The inability to maintain an adequate general reserve to cover future uncertainties puts the PCC and Force at risk of government sanction and intervention.</w:t>
            </w:r>
          </w:p>
          <w:p w14:paraId="2E2C4E28" w14:textId="77777777" w:rsidR="004E6102"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sidRPr="00970F0E">
              <w:rPr>
                <w:rFonts w:ascii="Calibri Light" w:eastAsia="Calibri" w:hAnsi="Calibri Light"/>
                <w:bCs/>
                <w:color w:val="000000"/>
                <w:szCs w:val="24"/>
                <w:lang w:eastAsia="en-US"/>
              </w:rPr>
              <w:t xml:space="preserve">The </w:t>
            </w:r>
            <w:r>
              <w:rPr>
                <w:rFonts w:ascii="Calibri Light" w:eastAsia="Calibri" w:hAnsi="Calibri Light"/>
                <w:bCs/>
                <w:color w:val="000000"/>
                <w:szCs w:val="24"/>
                <w:lang w:eastAsia="en-US"/>
              </w:rPr>
              <w:t>reduced amount of funding available from reserves for investment in the capital programme will increase the annual requirement placed upon the revenue budget, taking resource from other areas of the business</w:t>
            </w:r>
          </w:p>
          <w:p w14:paraId="74BF1411" w14:textId="77777777" w:rsidR="004E6102" w:rsidRDefault="004E6102" w:rsidP="004E6102">
            <w:pPr>
              <w:numPr>
                <w:ilvl w:val="1"/>
                <w:numId w:val="44"/>
              </w:numPr>
              <w:autoSpaceDE w:val="0"/>
              <w:autoSpaceDN w:val="0"/>
              <w:adjustRightInd w:val="0"/>
              <w:spacing w:after="120" w:line="259" w:lineRule="auto"/>
              <w:ind w:left="426"/>
              <w:rPr>
                <w:rFonts w:ascii="Calibri Light" w:eastAsia="Calibri" w:hAnsi="Calibri Light"/>
                <w:bCs/>
                <w:color w:val="000000"/>
                <w:szCs w:val="24"/>
                <w:lang w:eastAsia="en-US"/>
              </w:rPr>
            </w:pPr>
            <w:r>
              <w:rPr>
                <w:rFonts w:ascii="Calibri Light" w:eastAsia="Calibri" w:hAnsi="Calibri Light"/>
                <w:bCs/>
                <w:color w:val="000000"/>
                <w:szCs w:val="24"/>
                <w:lang w:eastAsia="en-US"/>
              </w:rPr>
              <w:t>Reduced investment through the capital programme may inhibit the ability of the Constabulary to deliver efficient and effective services</w:t>
            </w:r>
          </w:p>
          <w:p w14:paraId="6171D193" w14:textId="77777777" w:rsidR="004E6102" w:rsidRDefault="004E6102" w:rsidP="004E6102">
            <w:pPr>
              <w:spacing w:after="160" w:line="259" w:lineRule="auto"/>
              <w:rPr>
                <w:rFonts w:ascii="Calibri Light" w:eastAsia="Calibri" w:hAnsi="Calibri Light" w:cs="Times New Roman"/>
                <w:szCs w:val="24"/>
                <w:lang w:eastAsia="en-US"/>
              </w:rPr>
            </w:pPr>
          </w:p>
          <w:p w14:paraId="6681E8EA" w14:textId="77777777" w:rsidR="004E6102" w:rsidRDefault="004E6102" w:rsidP="004E6102">
            <w:pPr>
              <w:spacing w:after="160" w:line="259" w:lineRule="auto"/>
              <w:rPr>
                <w:rFonts w:ascii="Calibri Light" w:eastAsia="Calibri" w:hAnsi="Calibri Light" w:cs="Times New Roman"/>
                <w:szCs w:val="24"/>
                <w:lang w:eastAsia="en-US"/>
              </w:rPr>
            </w:pPr>
          </w:p>
          <w:p w14:paraId="20D14428" w14:textId="77777777" w:rsidR="004E6102" w:rsidRDefault="004E6102" w:rsidP="004E6102">
            <w:pPr>
              <w:pStyle w:val="ListParagraph"/>
              <w:ind w:left="0"/>
              <w:rPr>
                <w:rFonts w:cs="Arial"/>
                <w:sz w:val="24"/>
              </w:rPr>
            </w:pPr>
          </w:p>
          <w:p w14:paraId="173082A2" w14:textId="77777777" w:rsidR="004E6102" w:rsidRPr="007B2E02" w:rsidRDefault="004E6102" w:rsidP="004E6102">
            <w:pPr>
              <w:pStyle w:val="ListParagraph"/>
              <w:ind w:left="0"/>
              <w:rPr>
                <w:rFonts w:cs="Arial"/>
                <w:sz w:val="24"/>
              </w:rPr>
            </w:pPr>
          </w:p>
          <w:p w14:paraId="3B103AFF" w14:textId="77777777" w:rsidR="004E6102" w:rsidRPr="007B2E02" w:rsidRDefault="004E6102" w:rsidP="004E6102">
            <w:pPr>
              <w:pStyle w:val="ListParagraph"/>
              <w:ind w:left="0"/>
              <w:rPr>
                <w:rFonts w:cs="Arial"/>
                <w:sz w:val="24"/>
              </w:rPr>
            </w:pPr>
          </w:p>
          <w:p w14:paraId="78B420AD" w14:textId="77777777" w:rsidR="004E6102" w:rsidRPr="00041846" w:rsidRDefault="004E6102" w:rsidP="004E6102">
            <w:pPr>
              <w:rPr>
                <w:vanish/>
              </w:rPr>
            </w:pPr>
          </w:p>
          <w:p w14:paraId="2876428A" w14:textId="77777777" w:rsidR="00F31870" w:rsidRDefault="00F31870" w:rsidP="00C53265"/>
          <w:p w14:paraId="5DF61536" w14:textId="7055D917" w:rsidR="004E6102" w:rsidRPr="00CE48B3" w:rsidRDefault="004E6102" w:rsidP="00C53265">
            <w:pPr>
              <w:rPr>
                <w:vanish/>
              </w:rPr>
            </w:pPr>
          </w:p>
        </w:tc>
      </w:tr>
      <w:tr w:rsidR="00F31870" w:rsidRPr="00CE48B3" w14:paraId="5AAB179D" w14:textId="77777777" w:rsidTr="00905B76">
        <w:trPr>
          <w:hidden/>
        </w:trPr>
        <w:tc>
          <w:tcPr>
            <w:tcW w:w="562" w:type="dxa"/>
            <w:tcMar>
              <w:top w:w="0" w:type="dxa"/>
            </w:tcMar>
          </w:tcPr>
          <w:p w14:paraId="2BB609FF" w14:textId="77777777" w:rsidR="00F31870" w:rsidRPr="00CE48B3" w:rsidRDefault="00F31870" w:rsidP="001F7577">
            <w:pPr>
              <w:rPr>
                <w:vanish/>
              </w:rPr>
            </w:pPr>
          </w:p>
        </w:tc>
        <w:tc>
          <w:tcPr>
            <w:tcW w:w="9093" w:type="dxa"/>
            <w:tcMar>
              <w:top w:w="0" w:type="dxa"/>
            </w:tcMar>
          </w:tcPr>
          <w:p w14:paraId="01AA4EA9" w14:textId="77777777" w:rsidR="00F31870" w:rsidRPr="00CE48B3" w:rsidRDefault="00F31870" w:rsidP="001F7577">
            <w:pPr>
              <w:widowControl w:val="0"/>
              <w:rPr>
                <w:vanish/>
              </w:rPr>
            </w:pPr>
            <w:r w:rsidRPr="00CE48B3">
              <w:rPr>
                <w:vanish/>
              </w:rPr>
              <w:fldChar w:fldCharType="begin"/>
            </w:r>
            <w:r w:rsidRPr="00CE48B3">
              <w:rPr>
                <w:vanish/>
              </w:rPr>
              <w:instrText xml:space="preserve"> QUOTE "FIELD_SUMMARY" \* MERGEFORMAT </w:instrText>
            </w:r>
            <w:r w:rsidRPr="00CE48B3">
              <w:rPr>
                <w:vanish/>
              </w:rPr>
              <w:fldChar w:fldCharType="separate"/>
            </w:r>
            <w:r w:rsidR="00CE48B3" w:rsidRPr="00CE48B3">
              <w:rPr>
                <w:vanish/>
              </w:rPr>
              <w:t>FIELD_SUMMARY</w:t>
            </w:r>
            <w:r w:rsidRPr="00CE48B3">
              <w:rPr>
                <w:vanish/>
              </w:rPr>
              <w:fldChar w:fldCharType="end"/>
            </w:r>
          </w:p>
          <w:p w14:paraId="7D9866C2" w14:textId="77777777" w:rsidR="005552F2" w:rsidRPr="00CE48B3" w:rsidRDefault="005552F2" w:rsidP="001F7577">
            <w:pPr>
              <w:widowControl w:val="0"/>
              <w:rPr>
                <w:vanish/>
                <w:sz w:val="20"/>
                <w:szCs w:val="20"/>
              </w:rPr>
            </w:pPr>
          </w:p>
        </w:tc>
      </w:tr>
    </w:tbl>
    <w:p w14:paraId="70B5C011" w14:textId="77777777" w:rsidR="002F7636" w:rsidRDefault="002F7636" w:rsidP="002F7636">
      <w:pPr>
        <w:rPr>
          <w:vanish/>
        </w:rPr>
      </w:pPr>
      <w:r>
        <w:rPr>
          <w:vanish/>
        </w:rPr>
        <w:t>&lt;/LAYOUT_SECTION&gt;</w:t>
      </w:r>
    </w:p>
    <w:p w14:paraId="07964ACF" w14:textId="77777777" w:rsidR="002F7636" w:rsidRPr="00CE48B3" w:rsidRDefault="002F7636" w:rsidP="002F7636">
      <w:pPr>
        <w:rPr>
          <w:vanish/>
        </w:rPr>
      </w:pPr>
      <w:r>
        <w:rPr>
          <w:vanish/>
        </w:rPr>
        <w:t>&lt;TITLE_ONLY_LAYOUT_SECTION&gt;</w:t>
      </w:r>
    </w:p>
    <w:tbl>
      <w:tblPr>
        <w:tblW w:w="9655" w:type="dxa"/>
        <w:tblLayout w:type="fixed"/>
        <w:tblCellMar>
          <w:top w:w="115" w:type="dxa"/>
          <w:left w:w="115" w:type="dxa"/>
          <w:right w:w="115" w:type="dxa"/>
        </w:tblCellMar>
        <w:tblLook w:val="0000" w:firstRow="0" w:lastRow="0" w:firstColumn="0" w:lastColumn="0" w:noHBand="0" w:noVBand="0"/>
      </w:tblPr>
      <w:tblGrid>
        <w:gridCol w:w="9655"/>
      </w:tblGrid>
      <w:tr w:rsidR="00F31870" w:rsidRPr="00CE48B3" w14:paraId="7F05C104" w14:textId="77777777" w:rsidTr="00E3404B">
        <w:trPr>
          <w:cantSplit/>
          <w:hidden/>
        </w:trPr>
        <w:tc>
          <w:tcPr>
            <w:tcW w:w="9655" w:type="dxa"/>
          </w:tcPr>
          <w:p w14:paraId="2BC099C7" w14:textId="77777777" w:rsidR="00F31870" w:rsidRPr="00CE48B3" w:rsidRDefault="00F31870" w:rsidP="00CE48B3">
            <w:pPr>
              <w:numPr>
                <w:ilvl w:val="0"/>
                <w:numId w:val="23"/>
              </w:numPr>
              <w:ind w:left="540" w:hanging="540"/>
              <w:rPr>
                <w:vanish/>
              </w:rPr>
            </w:pPr>
            <w:r w:rsidRPr="00CE48B3">
              <w:rPr>
                <w:rFonts w:ascii="Arial Bold" w:hAnsi="Arial Bold"/>
                <w:b/>
                <w:caps/>
                <w:vanish/>
              </w:rPr>
              <w:fldChar w:fldCharType="begin"/>
            </w:r>
            <w:r w:rsidRPr="00CE48B3">
              <w:rPr>
                <w:rFonts w:ascii="Arial Bold" w:hAnsi="Arial Bold"/>
                <w:b/>
                <w:caps/>
                <w:vanish/>
              </w:rPr>
              <w:instrText xml:space="preserve"> QUOTE "FIELD_TITLE" \* MERGEFORMAT </w:instrText>
            </w:r>
            <w:r w:rsidRPr="00CE48B3">
              <w:rPr>
                <w:rFonts w:ascii="Arial Bold" w:hAnsi="Arial Bold"/>
                <w:b/>
                <w:caps/>
                <w:vanish/>
              </w:rPr>
              <w:fldChar w:fldCharType="separate"/>
            </w:r>
            <w:r w:rsidR="00CE48B3" w:rsidRPr="00CE48B3">
              <w:rPr>
                <w:rFonts w:ascii="Arial Bold" w:hAnsi="Arial Bold"/>
                <w:b/>
                <w:caps/>
                <w:vanish/>
              </w:rPr>
              <w:t>FIELD_TITLE</w:t>
            </w:r>
            <w:r w:rsidRPr="00CE48B3">
              <w:rPr>
                <w:rFonts w:ascii="Arial Bold" w:hAnsi="Arial Bold"/>
                <w:b/>
                <w:caps/>
                <w:vanish/>
              </w:rPr>
              <w:fldChar w:fldCharType="end"/>
            </w:r>
            <w:r w:rsidRPr="00CE48B3">
              <w:rPr>
                <w:vanish/>
              </w:rPr>
              <w:t xml:space="preserve"> </w:t>
            </w:r>
          </w:p>
          <w:p w14:paraId="16D83213" w14:textId="77777777" w:rsidR="0002784F" w:rsidRPr="00CE48B3" w:rsidRDefault="0002784F" w:rsidP="0002784F">
            <w:pPr>
              <w:rPr>
                <w:vanish/>
              </w:rPr>
            </w:pPr>
          </w:p>
        </w:tc>
      </w:tr>
    </w:tbl>
    <w:p w14:paraId="1ACAA68C" w14:textId="77777777" w:rsidR="002D7D73" w:rsidRDefault="002D7D73" w:rsidP="002D7D73">
      <w:pPr>
        <w:tabs>
          <w:tab w:val="right" w:pos="9072"/>
          <w:tab w:val="right" w:pos="9356"/>
        </w:tabs>
        <w:ind w:left="709" w:hanging="709"/>
        <w:rPr>
          <w:vanish/>
        </w:rPr>
      </w:pPr>
      <w:r>
        <w:rPr>
          <w:vanish/>
        </w:rPr>
        <w:t>&lt;/TITLE_ONLY_LAYOUT_SECTION&gt;</w:t>
      </w:r>
    </w:p>
    <w:p w14:paraId="6B641881" w14:textId="77777777" w:rsidR="00260871" w:rsidRDefault="00260871" w:rsidP="000A18C9">
      <w:pPr>
        <w:rPr>
          <w:vanish/>
        </w:rPr>
      </w:pPr>
    </w:p>
    <w:p w14:paraId="7A0D1049" w14:textId="77777777" w:rsidR="003F6CD3" w:rsidRPr="00CE48B3" w:rsidRDefault="003F6CD3">
      <w:pPr>
        <w:ind w:left="720" w:hanging="720"/>
        <w:rPr>
          <w:vanish/>
        </w:rPr>
      </w:pPr>
      <w:r>
        <w:rPr>
          <w:vanish/>
        </w:rPr>
        <w:t>&lt;HEADING_LAYOUT_SECTION&gt;</w:t>
      </w:r>
    </w:p>
    <w:p w14:paraId="6236B16F" w14:textId="77777777" w:rsidR="00976460" w:rsidRPr="00CE48B3" w:rsidRDefault="00976460">
      <w:pPr>
        <w:ind w:left="720" w:hanging="720"/>
        <w:rPr>
          <w:vanish/>
          <w:sz w:val="28"/>
          <w:szCs w:val="28"/>
        </w:rPr>
      </w:pPr>
      <w:r w:rsidRPr="00CE48B3">
        <w:rPr>
          <w:b/>
          <w:bCs/>
          <w:vanish/>
          <w:sz w:val="28"/>
          <w:szCs w:val="28"/>
        </w:rPr>
        <w:fldChar w:fldCharType="begin"/>
      </w:r>
      <w:r w:rsidRPr="00CE48B3">
        <w:rPr>
          <w:b/>
          <w:bCs/>
          <w:vanish/>
          <w:sz w:val="28"/>
          <w:szCs w:val="28"/>
        </w:rPr>
        <w:instrText xml:space="preserve"> QUOTE "FIELD_TITLE" \* MERGEFORMAT </w:instrText>
      </w:r>
      <w:r w:rsidRPr="00CE48B3">
        <w:rPr>
          <w:b/>
          <w:bCs/>
          <w:vanish/>
          <w:sz w:val="28"/>
          <w:szCs w:val="28"/>
        </w:rPr>
        <w:fldChar w:fldCharType="separate"/>
      </w:r>
      <w:r w:rsidR="00CE48B3" w:rsidRPr="00CE48B3">
        <w:rPr>
          <w:b/>
          <w:bCs/>
          <w:vanish/>
          <w:sz w:val="28"/>
          <w:szCs w:val="28"/>
        </w:rPr>
        <w:t>FIELD_TITLE</w:t>
      </w:r>
      <w:r w:rsidRPr="00CE48B3">
        <w:rPr>
          <w:b/>
          <w:bCs/>
          <w:vanish/>
          <w:sz w:val="28"/>
          <w:szCs w:val="28"/>
        </w:rPr>
        <w:fldChar w:fldCharType="end"/>
      </w:r>
    </w:p>
    <w:p w14:paraId="6741E556" w14:textId="77777777" w:rsidR="00976460" w:rsidRPr="00CE48B3" w:rsidRDefault="00976460">
      <w:pPr>
        <w:ind w:left="720" w:hanging="720"/>
        <w:rPr>
          <w:vanish/>
        </w:rPr>
      </w:pPr>
    </w:p>
    <w:p w14:paraId="6607F14D" w14:textId="77777777" w:rsidR="003F6CD3" w:rsidRDefault="003F6CD3" w:rsidP="000A18C9">
      <w:pPr>
        <w:rPr>
          <w:vanish/>
        </w:rPr>
      </w:pPr>
      <w:r>
        <w:rPr>
          <w:vanish/>
        </w:rPr>
        <w:t>&lt;/HEADING_LAYOUT_SECTION&gt;</w:t>
      </w:r>
    </w:p>
    <w:p w14:paraId="59C107BD" w14:textId="77777777" w:rsidR="003F6CD3" w:rsidRPr="00CE48B3" w:rsidRDefault="003F6CD3" w:rsidP="000A18C9">
      <w:pPr>
        <w:rPr>
          <w:vanish/>
        </w:rPr>
      </w:pPr>
      <w:r>
        <w:rPr>
          <w:vanish/>
        </w:rPr>
        <w:t>&lt;TITLED_COMMENT_LAYOUT_SECTION&gt;</w:t>
      </w:r>
    </w:p>
    <w:tbl>
      <w:tblPr>
        <w:tblW w:w="9630" w:type="dxa"/>
        <w:tblInd w:w="25" w:type="dxa"/>
        <w:tblLayout w:type="fixed"/>
        <w:tblCellMar>
          <w:top w:w="115" w:type="dxa"/>
          <w:left w:w="115" w:type="dxa"/>
          <w:right w:w="115" w:type="dxa"/>
        </w:tblCellMar>
        <w:tblLook w:val="0000" w:firstRow="0" w:lastRow="0" w:firstColumn="0" w:lastColumn="0" w:noHBand="0" w:noVBand="0"/>
      </w:tblPr>
      <w:tblGrid>
        <w:gridCol w:w="9630"/>
      </w:tblGrid>
      <w:tr w:rsidR="001F7918" w:rsidRPr="00CE48B3" w14:paraId="4B75C2BB" w14:textId="77777777" w:rsidTr="00E3404B">
        <w:trPr>
          <w:hidden/>
        </w:trPr>
        <w:tc>
          <w:tcPr>
            <w:tcW w:w="9630" w:type="dxa"/>
          </w:tcPr>
          <w:p w14:paraId="5D52C5A9" w14:textId="77777777" w:rsidR="001F7918" w:rsidRPr="00CE48B3" w:rsidRDefault="001F7918" w:rsidP="000C6E5C">
            <w:pPr>
              <w:widowControl w:val="0"/>
              <w:rPr>
                <w:rFonts w:ascii="Arial Bold" w:hAnsi="Arial Bold"/>
                <w:vanish/>
                <w:sz w:val="28"/>
                <w:u w:val="single"/>
              </w:rPr>
            </w:pPr>
            <w:r w:rsidRPr="00CE48B3">
              <w:rPr>
                <w:rFonts w:ascii="Arial Bold" w:hAnsi="Arial Bold"/>
                <w:b/>
                <w:bCs/>
                <w:caps/>
                <w:vanish/>
                <w:sz w:val="28"/>
                <w:u w:val="single"/>
              </w:rPr>
              <w:fldChar w:fldCharType="begin"/>
            </w:r>
            <w:r w:rsidRPr="00CE48B3">
              <w:rPr>
                <w:rFonts w:ascii="Arial Bold" w:hAnsi="Arial Bold"/>
                <w:b/>
                <w:bCs/>
                <w:caps/>
                <w:vanish/>
                <w:sz w:val="28"/>
                <w:u w:val="single"/>
              </w:rPr>
              <w:instrText xml:space="preserve"> QUOTE "FIELD_TITLE" \* MERGEFORMAT </w:instrText>
            </w:r>
            <w:r w:rsidRPr="00CE48B3">
              <w:rPr>
                <w:rFonts w:ascii="Arial Bold" w:hAnsi="Arial Bold"/>
                <w:b/>
                <w:bCs/>
                <w:caps/>
                <w:vanish/>
                <w:sz w:val="28"/>
                <w:u w:val="single"/>
              </w:rPr>
              <w:fldChar w:fldCharType="separate"/>
            </w:r>
            <w:r w:rsidR="00CE48B3" w:rsidRPr="00CE48B3">
              <w:rPr>
                <w:rFonts w:ascii="Arial Bold" w:hAnsi="Arial Bold"/>
                <w:b/>
                <w:bCs/>
                <w:caps/>
                <w:vanish/>
                <w:sz w:val="28"/>
                <w:u w:val="single"/>
              </w:rPr>
              <w:t>FIELD_TITLE</w:t>
            </w:r>
            <w:r w:rsidRPr="00CE48B3">
              <w:rPr>
                <w:rFonts w:ascii="Arial Bold" w:hAnsi="Arial Bold"/>
                <w:b/>
                <w:bCs/>
                <w:caps/>
                <w:vanish/>
                <w:sz w:val="28"/>
                <w:u w:val="single"/>
              </w:rPr>
              <w:fldChar w:fldCharType="end"/>
            </w:r>
          </w:p>
        </w:tc>
      </w:tr>
      <w:tr w:rsidR="001F7918" w:rsidRPr="00CE48B3" w14:paraId="75FE076C" w14:textId="77777777" w:rsidTr="00E3404B">
        <w:trPr>
          <w:hidden/>
        </w:trPr>
        <w:tc>
          <w:tcPr>
            <w:tcW w:w="9630" w:type="dxa"/>
          </w:tcPr>
          <w:p w14:paraId="7FBC4DB5" w14:textId="77777777" w:rsidR="001F7918" w:rsidRPr="00CE48B3" w:rsidRDefault="001F7918" w:rsidP="00C53265">
            <w:pPr>
              <w:ind w:left="720" w:hanging="720"/>
              <w:rPr>
                <w:vanish/>
              </w:rPr>
            </w:pPr>
            <w:r w:rsidRPr="00CE48B3">
              <w:rPr>
                <w:vanish/>
              </w:rPr>
              <w:fldChar w:fldCharType="begin"/>
            </w:r>
            <w:r w:rsidRPr="00CE48B3">
              <w:rPr>
                <w:vanish/>
              </w:rPr>
              <w:instrText xml:space="preserve"> QUOTE  "FIELD_SUMMARY"  \* MERGEFORMAT </w:instrText>
            </w:r>
            <w:r w:rsidRPr="00CE48B3">
              <w:rPr>
                <w:vanish/>
              </w:rPr>
              <w:fldChar w:fldCharType="separate"/>
            </w:r>
            <w:r w:rsidR="00CE48B3" w:rsidRPr="00CE48B3">
              <w:rPr>
                <w:vanish/>
              </w:rPr>
              <w:t>FIELD_SUMMARY</w:t>
            </w:r>
            <w:r w:rsidRPr="00CE48B3">
              <w:rPr>
                <w:vanish/>
              </w:rPr>
              <w:fldChar w:fldCharType="end"/>
            </w:r>
          </w:p>
        </w:tc>
      </w:tr>
    </w:tbl>
    <w:p w14:paraId="2D6F9F04" w14:textId="77777777" w:rsidR="003F6CD3" w:rsidRDefault="001F7918" w:rsidP="000A18C9">
      <w:pPr>
        <w:rPr>
          <w:vanish/>
        </w:rPr>
      </w:pPr>
      <w:r>
        <w:rPr>
          <w:vanish/>
        </w:rPr>
        <w:t>&lt;/</w:t>
      </w:r>
      <w:r w:rsidR="003F6CD3">
        <w:rPr>
          <w:vanish/>
        </w:rPr>
        <w:t>TITLED_COMMENT_LAYOUT_SECTION&gt;</w:t>
      </w:r>
    </w:p>
    <w:p w14:paraId="2E341BC5" w14:textId="77777777" w:rsidR="003F6CD3" w:rsidRPr="00CE48B3" w:rsidRDefault="003F6CD3">
      <w:pPr>
        <w:ind w:left="720" w:hanging="720"/>
        <w:rPr>
          <w:vanish/>
        </w:rPr>
      </w:pPr>
      <w:r>
        <w:rPr>
          <w:vanish/>
        </w:rPr>
        <w:t>&lt;COMMENT_LAYOUT_SECTION&gt;</w:t>
      </w:r>
    </w:p>
    <w:p w14:paraId="201A1AB4" w14:textId="77777777" w:rsidR="00976460" w:rsidRPr="00CE48B3" w:rsidRDefault="00976460" w:rsidP="00976460">
      <w:pPr>
        <w:ind w:left="720" w:hanging="720"/>
        <w:rPr>
          <w:vanish/>
        </w:rPr>
      </w:pPr>
      <w:r w:rsidRPr="00CE48B3">
        <w:rPr>
          <w:vanish/>
        </w:rPr>
        <w:fldChar w:fldCharType="begin"/>
      </w:r>
      <w:r w:rsidRPr="00CE48B3">
        <w:rPr>
          <w:vanish/>
        </w:rPr>
        <w:instrText xml:space="preserve"> QUOTE  "FIELD_SUMMARY"  \* MERGEFORMAT </w:instrText>
      </w:r>
      <w:r w:rsidRPr="00CE48B3">
        <w:rPr>
          <w:vanish/>
        </w:rPr>
        <w:fldChar w:fldCharType="separate"/>
      </w:r>
      <w:r w:rsidR="00CE48B3" w:rsidRPr="00CE48B3">
        <w:rPr>
          <w:vanish/>
        </w:rPr>
        <w:t>FIELD_SUMMARY</w:t>
      </w:r>
      <w:r w:rsidRPr="00CE48B3">
        <w:rPr>
          <w:vanish/>
        </w:rPr>
        <w:fldChar w:fldCharType="end"/>
      </w:r>
    </w:p>
    <w:p w14:paraId="247F1F78" w14:textId="77777777" w:rsidR="00976460" w:rsidRPr="00CE48B3" w:rsidRDefault="00976460">
      <w:pPr>
        <w:ind w:left="720" w:hanging="720"/>
        <w:rPr>
          <w:vanish/>
        </w:rPr>
      </w:pPr>
    </w:p>
    <w:p w14:paraId="3BE6FB49" w14:textId="77777777" w:rsidR="003F6CD3" w:rsidRDefault="001F7918" w:rsidP="000A18C9">
      <w:pPr>
        <w:rPr>
          <w:vanish/>
        </w:rPr>
      </w:pPr>
      <w:r>
        <w:rPr>
          <w:vanish/>
        </w:rPr>
        <w:t>&lt;/</w:t>
      </w:r>
      <w:r w:rsidR="003F6CD3">
        <w:rPr>
          <w:vanish/>
        </w:rPr>
        <w:t>COMMENT_LAYOUT_SECTION&gt;</w:t>
      </w:r>
    </w:p>
    <w:p w14:paraId="2742FE4E" w14:textId="77777777" w:rsidR="003F6CD3" w:rsidRPr="00CE48B3" w:rsidRDefault="003F6CD3">
      <w:pPr>
        <w:rPr>
          <w:vanish/>
        </w:rPr>
      </w:pPr>
      <w:r>
        <w:rPr>
          <w:vanish/>
        </w:rPr>
        <w:t>&lt;SUBNUMBER_LAYOUT_SECTION&gt;</w:t>
      </w:r>
    </w:p>
    <w:tbl>
      <w:tblPr>
        <w:tblW w:w="9003" w:type="dxa"/>
        <w:tblInd w:w="562" w:type="dxa"/>
        <w:tblLayout w:type="fixed"/>
        <w:tblCellMar>
          <w:top w:w="115" w:type="dxa"/>
          <w:left w:w="115" w:type="dxa"/>
          <w:right w:w="115" w:type="dxa"/>
        </w:tblCellMar>
        <w:tblLook w:val="0000" w:firstRow="0" w:lastRow="0" w:firstColumn="0" w:lastColumn="0" w:noHBand="0" w:noVBand="0"/>
      </w:tblPr>
      <w:tblGrid>
        <w:gridCol w:w="562"/>
        <w:gridCol w:w="8441"/>
      </w:tblGrid>
      <w:tr w:rsidR="000C6E5C" w:rsidRPr="00CE48B3" w14:paraId="614E8EE4" w14:textId="77777777" w:rsidTr="00E3404B">
        <w:trPr>
          <w:cantSplit/>
          <w:hidden/>
        </w:trPr>
        <w:tc>
          <w:tcPr>
            <w:tcW w:w="9003" w:type="dxa"/>
            <w:gridSpan w:val="2"/>
          </w:tcPr>
          <w:p w14:paraId="5022C78F" w14:textId="77777777" w:rsidR="000C6E5C" w:rsidRPr="00CE48B3" w:rsidRDefault="000C6E5C" w:rsidP="00685497">
            <w:pPr>
              <w:numPr>
                <w:ilvl w:val="1"/>
                <w:numId w:val="1"/>
              </w:numPr>
              <w:rPr>
                <w:vanish/>
                <w:u w:val="single"/>
              </w:rPr>
            </w:pPr>
            <w:r w:rsidRPr="00CE48B3">
              <w:rPr>
                <w:b/>
                <w:vanish/>
              </w:rPr>
              <w:fldChar w:fldCharType="begin"/>
            </w:r>
            <w:r w:rsidRPr="00CE48B3">
              <w:rPr>
                <w:b/>
                <w:vanish/>
              </w:rPr>
              <w:instrText xml:space="preserve"> QUOTE  “FIELD_TITLE”  \* MERGEFORMAT </w:instrText>
            </w:r>
            <w:r w:rsidRPr="00CE48B3">
              <w:rPr>
                <w:b/>
                <w:vanish/>
              </w:rPr>
              <w:fldChar w:fldCharType="separate"/>
            </w:r>
            <w:r w:rsidR="00CE48B3" w:rsidRPr="00CE48B3">
              <w:rPr>
                <w:b/>
                <w:vanish/>
              </w:rPr>
              <w:t>FIELD_TITLE</w:t>
            </w:r>
            <w:r w:rsidRPr="00CE48B3">
              <w:rPr>
                <w:b/>
                <w:vanish/>
              </w:rPr>
              <w:fldChar w:fldCharType="end"/>
            </w:r>
            <w:r w:rsidRPr="00CE48B3">
              <w:rPr>
                <w:vanish/>
                <w:u w:val="single"/>
              </w:rPr>
              <w:t xml:space="preserve"> </w:t>
            </w:r>
          </w:p>
        </w:tc>
      </w:tr>
      <w:tr w:rsidR="000C6E5C" w:rsidRPr="00CE48B3" w14:paraId="68619F00" w14:textId="77777777" w:rsidTr="00E3404B">
        <w:trPr>
          <w:hidden/>
        </w:trPr>
        <w:tc>
          <w:tcPr>
            <w:tcW w:w="562" w:type="dxa"/>
          </w:tcPr>
          <w:p w14:paraId="1DCCA7C8" w14:textId="77777777" w:rsidR="000C6E5C" w:rsidRPr="00CE48B3" w:rsidRDefault="000C6E5C" w:rsidP="00ED5603">
            <w:pPr>
              <w:rPr>
                <w:vanish/>
              </w:rPr>
            </w:pPr>
          </w:p>
        </w:tc>
        <w:tc>
          <w:tcPr>
            <w:tcW w:w="8441" w:type="dxa"/>
          </w:tcPr>
          <w:p w14:paraId="4F4D6D29" w14:textId="77777777" w:rsidR="000C6E5C" w:rsidRPr="00CE48B3" w:rsidRDefault="000C6E5C" w:rsidP="00ED5603">
            <w:pPr>
              <w:widowControl w:val="0"/>
              <w:rPr>
                <w:vanish/>
              </w:rPr>
            </w:pPr>
            <w:r w:rsidRPr="00CE48B3">
              <w:rPr>
                <w:vanish/>
              </w:rPr>
              <w:fldChar w:fldCharType="begin"/>
            </w:r>
            <w:r w:rsidRPr="00CE48B3">
              <w:rPr>
                <w:vanish/>
              </w:rPr>
              <w:instrText xml:space="preserve"> QUOTE "FIELD_SUMMARY" \* MERGEFORMAT </w:instrText>
            </w:r>
            <w:r w:rsidRPr="00CE48B3">
              <w:rPr>
                <w:vanish/>
              </w:rPr>
              <w:fldChar w:fldCharType="separate"/>
            </w:r>
            <w:r w:rsidR="00CE48B3" w:rsidRPr="00CE48B3">
              <w:rPr>
                <w:vanish/>
              </w:rPr>
              <w:t>FIELD_SUMMARY</w:t>
            </w:r>
            <w:r w:rsidRPr="00CE48B3">
              <w:rPr>
                <w:vanish/>
              </w:rPr>
              <w:fldChar w:fldCharType="end"/>
            </w:r>
            <w:r w:rsidRPr="00CE48B3">
              <w:rPr>
                <w:vanish/>
              </w:rPr>
              <w:t xml:space="preserve"> </w:t>
            </w:r>
          </w:p>
        </w:tc>
      </w:tr>
    </w:tbl>
    <w:p w14:paraId="041DAC6E" w14:textId="77777777" w:rsidR="003F6CD3" w:rsidRDefault="003F6CD3">
      <w:pPr>
        <w:rPr>
          <w:vanish/>
        </w:rPr>
      </w:pPr>
      <w:r>
        <w:rPr>
          <w:vanish/>
        </w:rPr>
        <w:t>&lt;/SUBNUMBER_LAYOUT_SECTION&gt;</w:t>
      </w:r>
    </w:p>
    <w:p w14:paraId="016C9AE2" w14:textId="77777777" w:rsidR="003F6CD3" w:rsidRPr="00CE48B3" w:rsidRDefault="003F6CD3">
      <w:pPr>
        <w:rPr>
          <w:vanish/>
        </w:rPr>
      </w:pPr>
      <w:r>
        <w:rPr>
          <w:vanish/>
        </w:rPr>
        <w:t>&lt;TITLE_ONLY_SUBNUMBER_LAYOUT_SECTION&gt;</w:t>
      </w:r>
    </w:p>
    <w:tbl>
      <w:tblPr>
        <w:tblW w:w="9003" w:type="dxa"/>
        <w:tblInd w:w="562" w:type="dxa"/>
        <w:tblLayout w:type="fixed"/>
        <w:tblCellMar>
          <w:top w:w="115" w:type="dxa"/>
          <w:left w:w="115" w:type="dxa"/>
          <w:right w:w="115" w:type="dxa"/>
        </w:tblCellMar>
        <w:tblLook w:val="0000" w:firstRow="0" w:lastRow="0" w:firstColumn="0" w:lastColumn="0" w:noHBand="0" w:noVBand="0"/>
      </w:tblPr>
      <w:tblGrid>
        <w:gridCol w:w="9003"/>
      </w:tblGrid>
      <w:tr w:rsidR="000C6E5C" w:rsidRPr="00CE48B3" w14:paraId="147F6DFB" w14:textId="77777777" w:rsidTr="00E3404B">
        <w:trPr>
          <w:cantSplit/>
          <w:hidden/>
        </w:trPr>
        <w:tc>
          <w:tcPr>
            <w:tcW w:w="9003" w:type="dxa"/>
          </w:tcPr>
          <w:p w14:paraId="3E7E75F1" w14:textId="77777777" w:rsidR="000C6E5C" w:rsidRPr="00CE48B3" w:rsidRDefault="000C6E5C" w:rsidP="00685497">
            <w:pPr>
              <w:numPr>
                <w:ilvl w:val="1"/>
                <w:numId w:val="1"/>
              </w:numPr>
              <w:rPr>
                <w:vanish/>
                <w:u w:val="single"/>
              </w:rPr>
            </w:pPr>
            <w:r w:rsidRPr="00CE48B3">
              <w:rPr>
                <w:b/>
                <w:vanish/>
              </w:rPr>
              <w:fldChar w:fldCharType="begin"/>
            </w:r>
            <w:r w:rsidRPr="00CE48B3">
              <w:rPr>
                <w:b/>
                <w:vanish/>
              </w:rPr>
              <w:instrText xml:space="preserve"> QUOTE  “FIELD_TITLE”  \* MERGEFORMAT </w:instrText>
            </w:r>
            <w:r w:rsidRPr="00CE48B3">
              <w:rPr>
                <w:b/>
                <w:vanish/>
              </w:rPr>
              <w:fldChar w:fldCharType="separate"/>
            </w:r>
            <w:r w:rsidR="00CE48B3" w:rsidRPr="00CE48B3">
              <w:rPr>
                <w:b/>
                <w:vanish/>
              </w:rPr>
              <w:t>FIELD_TITLE</w:t>
            </w:r>
            <w:r w:rsidRPr="00CE48B3">
              <w:rPr>
                <w:b/>
                <w:vanish/>
              </w:rPr>
              <w:fldChar w:fldCharType="end"/>
            </w:r>
            <w:r w:rsidRPr="00CE48B3">
              <w:rPr>
                <w:vanish/>
                <w:u w:val="single"/>
              </w:rPr>
              <w:t xml:space="preserve"> </w:t>
            </w:r>
          </w:p>
        </w:tc>
      </w:tr>
    </w:tbl>
    <w:p w14:paraId="77AAE370" w14:textId="77777777" w:rsidR="003F6CD3" w:rsidRDefault="003F6CD3">
      <w:pPr>
        <w:rPr>
          <w:vanish/>
        </w:rPr>
      </w:pPr>
      <w:r>
        <w:rPr>
          <w:vanish/>
        </w:rPr>
        <w:t>&lt;/TITLE_ONLY_SUBNUMBER_LAYOUT_SECTION&gt;</w:t>
      </w:r>
    </w:p>
    <w:sectPr w:rsidR="003F6CD3" w:rsidSect="00994D21">
      <w:headerReference w:type="even" r:id="rId9"/>
      <w:headerReference w:type="default" r:id="rId10"/>
      <w:footerReference w:type="even" r:id="rId11"/>
      <w:footerReference w:type="default" r:id="rId12"/>
      <w:headerReference w:type="first" r:id="rId13"/>
      <w:footerReference w:type="first" r:id="rId14"/>
      <w:pgSz w:w="11909" w:h="16838" w:code="9"/>
      <w:pgMar w:top="851" w:right="1224" w:bottom="567" w:left="1224" w:header="360" w:footer="706"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C5B0" w14:textId="77777777" w:rsidR="00455BFD" w:rsidRDefault="00455BFD">
      <w:r>
        <w:separator/>
      </w:r>
    </w:p>
  </w:endnote>
  <w:endnote w:type="continuationSeparator" w:id="0">
    <w:p w14:paraId="3D2238A9" w14:textId="77777777" w:rsidR="00455BFD" w:rsidRDefault="0045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D94B9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F029" w14:textId="77777777" w:rsidR="00B93802" w:rsidRDefault="00B93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C59E" w14:textId="77777777" w:rsidR="00B93802" w:rsidRDefault="00B93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ABA6" w14:textId="77777777" w:rsidR="00B93802" w:rsidRDefault="00B9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6B52" w14:textId="77777777" w:rsidR="00455BFD" w:rsidRDefault="00455BFD">
      <w:r>
        <w:separator/>
      </w:r>
    </w:p>
  </w:footnote>
  <w:footnote w:type="continuationSeparator" w:id="0">
    <w:p w14:paraId="478288ED" w14:textId="77777777" w:rsidR="00455BFD" w:rsidRDefault="0045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886" w14:textId="77777777" w:rsidR="00B93802" w:rsidRDefault="00B9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365B" w14:textId="45B29455" w:rsidR="00B93802" w:rsidRDefault="00B9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52D4" w14:textId="4A0EDB0B" w:rsidR="00455BFD" w:rsidRDefault="00455BFD" w:rsidP="00455B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51D3F"/>
    <w:multiLevelType w:val="multilevel"/>
    <w:tmpl w:val="C548EDC4"/>
    <w:lvl w:ilvl="0">
      <w:start w:val="1"/>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C6027D"/>
    <w:multiLevelType w:val="multilevel"/>
    <w:tmpl w:val="4E3A5CB4"/>
    <w:lvl w:ilvl="0">
      <w:start w:val="1"/>
      <w:numFmt w:val="decimal"/>
      <w:lvlText w:val="%1."/>
      <w:lvlJc w:val="left"/>
      <w:pPr>
        <w:tabs>
          <w:tab w:val="num" w:pos="562"/>
        </w:tabs>
        <w:ind w:left="562" w:hanging="562"/>
      </w:pPr>
      <w:rPr>
        <w:rFonts w:ascii="Verdana" w:hAnsi="Verdana" w:cs="Verdana" w:hint="default"/>
        <w:b w:val="0"/>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F870CF"/>
    <w:multiLevelType w:val="hybridMultilevel"/>
    <w:tmpl w:val="2EB40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107D1"/>
    <w:multiLevelType w:val="multilevel"/>
    <w:tmpl w:val="1D26A8C4"/>
    <w:lvl w:ilvl="0">
      <w:start w:val="7"/>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F27CB"/>
    <w:multiLevelType w:val="multilevel"/>
    <w:tmpl w:val="7FFA22FE"/>
    <w:lvl w:ilvl="0">
      <w:start w:val="5"/>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894BFF"/>
    <w:multiLevelType w:val="multilevel"/>
    <w:tmpl w:val="4E3A5CB4"/>
    <w:lvl w:ilvl="0">
      <w:start w:val="1"/>
      <w:numFmt w:val="decimal"/>
      <w:lvlText w:val="%1."/>
      <w:lvlJc w:val="left"/>
      <w:pPr>
        <w:tabs>
          <w:tab w:val="num" w:pos="562"/>
        </w:tabs>
        <w:ind w:left="562" w:hanging="562"/>
      </w:pPr>
      <w:rPr>
        <w:rFonts w:ascii="Verdana" w:hAnsi="Verdana" w:cs="Verdana" w:hint="default"/>
        <w:b w:val="0"/>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F30A4"/>
    <w:multiLevelType w:val="hybridMultilevel"/>
    <w:tmpl w:val="AAD2AB2A"/>
    <w:lvl w:ilvl="0" w:tplc="91EC9ADA">
      <w:start w:val="1"/>
      <w:numFmt w:val="lowerRoman"/>
      <w:lvlText w:val="(%1)"/>
      <w:lvlJc w:val="left"/>
      <w:pPr>
        <w:tabs>
          <w:tab w:val="num" w:pos="720"/>
        </w:tabs>
        <w:ind w:left="720" w:hanging="720"/>
      </w:pPr>
      <w:rPr>
        <w:rFonts w:ascii="Arial" w:hAnsi="Arial" w:cs="Times New Roman"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93109D"/>
    <w:multiLevelType w:val="multilevel"/>
    <w:tmpl w:val="1BCE3812"/>
    <w:lvl w:ilvl="0">
      <w:start w:val="18"/>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9673B8"/>
    <w:multiLevelType w:val="multilevel"/>
    <w:tmpl w:val="8E001A02"/>
    <w:lvl w:ilvl="0">
      <w:start w:val="1"/>
      <w:numFmt w:val="decimal"/>
      <w:lvlText w:val="%1"/>
      <w:lvlJc w:val="left"/>
      <w:pPr>
        <w:tabs>
          <w:tab w:val="num" w:pos="0"/>
        </w:tabs>
      </w:pPr>
      <w:rPr>
        <w:rFonts w:ascii="Arial" w:hAnsi="Arial" w:cs="Arial" w:hint="default"/>
        <w:b w:val="0"/>
        <w:bCs w:val="0"/>
        <w:i w:val="0"/>
        <w:iCs w:val="0"/>
        <w:sz w:val="20"/>
        <w:szCs w:val="20"/>
      </w:rPr>
    </w:lvl>
    <w:lvl w:ilvl="1">
      <w:start w:val="1"/>
      <w:numFmt w:val="lowerLetter"/>
      <w:lvlText w:val="%2)"/>
      <w:lvlJc w:val="left"/>
      <w:pPr>
        <w:tabs>
          <w:tab w:val="num" w:pos="562"/>
        </w:tabs>
        <w:ind w:left="562" w:hanging="562"/>
      </w:pPr>
      <w:rPr>
        <w:rFonts w:ascii="Arial Bold" w:hAnsi="Arial Bold" w:cs="Arial" w:hint="default"/>
        <w:b/>
        <w:bCs w:val="0"/>
        <w:i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9D324D"/>
    <w:multiLevelType w:val="multilevel"/>
    <w:tmpl w:val="F3E89F5A"/>
    <w:lvl w:ilvl="0">
      <w:start w:val="15"/>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2C02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22F12"/>
    <w:multiLevelType w:val="multilevel"/>
    <w:tmpl w:val="1136B082"/>
    <w:lvl w:ilvl="0">
      <w:start w:val="12"/>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0D5E6B"/>
    <w:multiLevelType w:val="hybridMultilevel"/>
    <w:tmpl w:val="D9180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8E7F68"/>
    <w:multiLevelType w:val="hybridMultilevel"/>
    <w:tmpl w:val="016CDF92"/>
    <w:lvl w:ilvl="0" w:tplc="BABAE0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cs="Verdana" w:hint="default"/>
        <w:b w:val="0"/>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A67B4F"/>
    <w:multiLevelType w:val="multilevel"/>
    <w:tmpl w:val="817AC574"/>
    <w:lvl w:ilvl="0">
      <w:start w:val="13"/>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75441A"/>
    <w:multiLevelType w:val="hybridMultilevel"/>
    <w:tmpl w:val="88F47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C71C2"/>
    <w:multiLevelType w:val="multilevel"/>
    <w:tmpl w:val="D9005388"/>
    <w:lvl w:ilvl="0">
      <w:start w:val="3"/>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7173E0"/>
    <w:multiLevelType w:val="multilevel"/>
    <w:tmpl w:val="C548EDC4"/>
    <w:lvl w:ilvl="0">
      <w:start w:val="1"/>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9C61B07"/>
    <w:multiLevelType w:val="multilevel"/>
    <w:tmpl w:val="0B1EFF14"/>
    <w:lvl w:ilvl="0">
      <w:start w:val="11"/>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6F6AB8"/>
    <w:multiLevelType w:val="hybridMultilevel"/>
    <w:tmpl w:val="01C8C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731E9"/>
    <w:multiLevelType w:val="hybridMultilevel"/>
    <w:tmpl w:val="07384DD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3" w15:restartNumberingAfterBreak="0">
    <w:nsid w:val="3C832B82"/>
    <w:multiLevelType w:val="multilevel"/>
    <w:tmpl w:val="8FF64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851E9"/>
    <w:multiLevelType w:val="hybridMultilevel"/>
    <w:tmpl w:val="87BA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F5A34"/>
    <w:multiLevelType w:val="hybridMultilevel"/>
    <w:tmpl w:val="883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C3C8F"/>
    <w:multiLevelType w:val="hybridMultilevel"/>
    <w:tmpl w:val="E9620B6C"/>
    <w:lvl w:ilvl="0" w:tplc="F11ED4C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423E4"/>
    <w:multiLevelType w:val="multilevel"/>
    <w:tmpl w:val="2C80B82E"/>
    <w:lvl w:ilvl="0">
      <w:start w:val="10"/>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F40E25"/>
    <w:multiLevelType w:val="multilevel"/>
    <w:tmpl w:val="CBA2C1D2"/>
    <w:lvl w:ilvl="0">
      <w:start w:val="17"/>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601EB8"/>
    <w:multiLevelType w:val="multilevel"/>
    <w:tmpl w:val="7E54F4F4"/>
    <w:lvl w:ilvl="0">
      <w:start w:val="4"/>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5A6252"/>
    <w:multiLevelType w:val="hybridMultilevel"/>
    <w:tmpl w:val="F9D04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3902D4"/>
    <w:multiLevelType w:val="hybridMultilevel"/>
    <w:tmpl w:val="F6386598"/>
    <w:lvl w:ilvl="0" w:tplc="8D2C386C">
      <w:start w:val="1"/>
      <w:numFmt w:val="decimal"/>
      <w:lvlText w:val="%1."/>
      <w:lvlJc w:val="left"/>
      <w:pPr>
        <w:ind w:left="720" w:hanging="360"/>
      </w:pPr>
      <w:rPr>
        <w:rFonts w:ascii="Arial Bold" w:hAnsi="Arial Bold" w:cs="Verdana" w:hint="default"/>
        <w:b/>
        <w:sz w:val="3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D73F5"/>
    <w:multiLevelType w:val="hybridMultilevel"/>
    <w:tmpl w:val="0BE00AE4"/>
    <w:lvl w:ilvl="0" w:tplc="DB06F82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C703F3"/>
    <w:multiLevelType w:val="multilevel"/>
    <w:tmpl w:val="7E589E50"/>
    <w:lvl w:ilvl="0">
      <w:start w:val="16"/>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3C75A3"/>
    <w:multiLevelType w:val="multilevel"/>
    <w:tmpl w:val="D8EC53B0"/>
    <w:lvl w:ilvl="0">
      <w:start w:val="6"/>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B27376"/>
    <w:multiLevelType w:val="hybridMultilevel"/>
    <w:tmpl w:val="73C00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CE49FF"/>
    <w:multiLevelType w:val="multilevel"/>
    <w:tmpl w:val="5DE6DADE"/>
    <w:lvl w:ilvl="0">
      <w:start w:val="2"/>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657469"/>
    <w:multiLevelType w:val="multilevel"/>
    <w:tmpl w:val="AEF8CAC6"/>
    <w:lvl w:ilvl="0">
      <w:start w:val="9"/>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8E2976"/>
    <w:multiLevelType w:val="hybridMultilevel"/>
    <w:tmpl w:val="F954B520"/>
    <w:lvl w:ilvl="0" w:tplc="259EA9BA">
      <w:start w:val="1"/>
      <w:numFmt w:val="decimal"/>
      <w:lvlText w:val="%1."/>
      <w:lvlJc w:val="left"/>
      <w:pPr>
        <w:ind w:left="720" w:hanging="360"/>
      </w:pPr>
      <w:rPr>
        <w:rFonts w:ascii="Arial Bold" w:hAnsi="Arial Bold"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E009B1"/>
    <w:multiLevelType w:val="multilevel"/>
    <w:tmpl w:val="FA4E22C0"/>
    <w:lvl w:ilvl="0">
      <w:start w:val="14"/>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3F24C4F"/>
    <w:multiLevelType w:val="hybridMultilevel"/>
    <w:tmpl w:val="879AA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B067A"/>
    <w:multiLevelType w:val="multilevel"/>
    <w:tmpl w:val="8B361CEE"/>
    <w:lvl w:ilvl="0">
      <w:start w:val="1"/>
      <w:numFmt w:val="decimal"/>
      <w:lvlText w:val="%1."/>
      <w:lvlJc w:val="left"/>
      <w:pPr>
        <w:tabs>
          <w:tab w:val="num" w:pos="562"/>
        </w:tabs>
        <w:ind w:left="562" w:hanging="562"/>
      </w:pPr>
      <w:rPr>
        <w:rFonts w:ascii="Verdana" w:hAnsi="Verdana" w:cs="Verdana" w:hint="default"/>
        <w:b w:val="0"/>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82D38AC"/>
    <w:multiLevelType w:val="multilevel"/>
    <w:tmpl w:val="54547942"/>
    <w:lvl w:ilvl="0">
      <w:start w:val="8"/>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F731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C90C1B"/>
    <w:multiLevelType w:val="hybridMultilevel"/>
    <w:tmpl w:val="4DE4B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74BBE"/>
    <w:multiLevelType w:val="hybridMultilevel"/>
    <w:tmpl w:val="13A28D2E"/>
    <w:lvl w:ilvl="0" w:tplc="DB06F82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539048">
    <w:abstractNumId w:val="9"/>
  </w:num>
  <w:num w:numId="2" w16cid:durableId="971517012">
    <w:abstractNumId w:val="36"/>
  </w:num>
  <w:num w:numId="3" w16cid:durableId="1976136093">
    <w:abstractNumId w:val="15"/>
  </w:num>
  <w:num w:numId="4" w16cid:durableId="1374421623">
    <w:abstractNumId w:val="41"/>
  </w:num>
  <w:num w:numId="5" w16cid:durableId="723875140">
    <w:abstractNumId w:val="2"/>
  </w:num>
  <w:num w:numId="6" w16cid:durableId="1437558436">
    <w:abstractNumId w:val="6"/>
  </w:num>
  <w:num w:numId="7" w16cid:durableId="573010644">
    <w:abstractNumId w:val="25"/>
  </w:num>
  <w:num w:numId="8" w16cid:durableId="2124953458">
    <w:abstractNumId w:val="26"/>
  </w:num>
  <w:num w:numId="9" w16cid:durableId="1286157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314088">
    <w:abstractNumId w:val="14"/>
  </w:num>
  <w:num w:numId="11" w16cid:durableId="923804713">
    <w:abstractNumId w:val="19"/>
  </w:num>
  <w:num w:numId="12" w16cid:durableId="1954632591">
    <w:abstractNumId w:val="29"/>
  </w:num>
  <w:num w:numId="13" w16cid:durableId="854001628">
    <w:abstractNumId w:val="18"/>
  </w:num>
  <w:num w:numId="14" w16cid:durableId="806361098">
    <w:abstractNumId w:val="5"/>
  </w:num>
  <w:num w:numId="15" w16cid:durableId="53625937">
    <w:abstractNumId w:val="34"/>
  </w:num>
  <w:num w:numId="16" w16cid:durableId="1113130652">
    <w:abstractNumId w:val="42"/>
  </w:num>
  <w:num w:numId="17" w16cid:durableId="934050642">
    <w:abstractNumId w:val="4"/>
  </w:num>
  <w:num w:numId="18" w16cid:durableId="11224584">
    <w:abstractNumId w:val="37"/>
  </w:num>
  <w:num w:numId="19" w16cid:durableId="142704620">
    <w:abstractNumId w:val="16"/>
  </w:num>
  <w:num w:numId="20" w16cid:durableId="1777946100">
    <w:abstractNumId w:val="27"/>
  </w:num>
  <w:num w:numId="21" w16cid:durableId="1567380624">
    <w:abstractNumId w:val="20"/>
  </w:num>
  <w:num w:numId="22" w16cid:durableId="1161776561">
    <w:abstractNumId w:val="12"/>
  </w:num>
  <w:num w:numId="23" w16cid:durableId="1712801171">
    <w:abstractNumId w:val="1"/>
  </w:num>
  <w:num w:numId="24" w16cid:durableId="1443298">
    <w:abstractNumId w:val="39"/>
  </w:num>
  <w:num w:numId="25" w16cid:durableId="1147359745">
    <w:abstractNumId w:val="10"/>
  </w:num>
  <w:num w:numId="26" w16cid:durableId="1776973418">
    <w:abstractNumId w:val="33"/>
  </w:num>
  <w:num w:numId="27" w16cid:durableId="495263963">
    <w:abstractNumId w:val="28"/>
  </w:num>
  <w:num w:numId="28" w16cid:durableId="973406565">
    <w:abstractNumId w:val="8"/>
  </w:num>
  <w:num w:numId="29" w16cid:durableId="8646335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2436831">
    <w:abstractNumId w:val="13"/>
  </w:num>
  <w:num w:numId="31" w16cid:durableId="395279083">
    <w:abstractNumId w:val="3"/>
  </w:num>
  <w:num w:numId="32" w16cid:durableId="2069255796">
    <w:abstractNumId w:val="30"/>
  </w:num>
  <w:num w:numId="33" w16cid:durableId="755135644">
    <w:abstractNumId w:val="45"/>
  </w:num>
  <w:num w:numId="34" w16cid:durableId="711151074">
    <w:abstractNumId w:val="32"/>
  </w:num>
  <w:num w:numId="35" w16cid:durableId="1256941152">
    <w:abstractNumId w:val="31"/>
  </w:num>
  <w:num w:numId="36" w16cid:durableId="97260167">
    <w:abstractNumId w:val="38"/>
  </w:num>
  <w:num w:numId="37" w16cid:durableId="1682508085">
    <w:abstractNumId w:val="40"/>
  </w:num>
  <w:num w:numId="38" w16cid:durableId="176890328">
    <w:abstractNumId w:val="44"/>
  </w:num>
  <w:num w:numId="39" w16cid:durableId="545525150">
    <w:abstractNumId w:val="17"/>
  </w:num>
  <w:num w:numId="40" w16cid:durableId="1474132165">
    <w:abstractNumId w:val="21"/>
  </w:num>
  <w:num w:numId="41" w16cid:durableId="1704865934">
    <w:abstractNumId w:val="24"/>
  </w:num>
  <w:num w:numId="42" w16cid:durableId="1739522605">
    <w:abstractNumId w:val="35"/>
  </w:num>
  <w:num w:numId="43" w16cid:durableId="491140444">
    <w:abstractNumId w:val="43"/>
  </w:num>
  <w:num w:numId="44" w16cid:durableId="1674529567">
    <w:abstractNumId w:val="0"/>
  </w:num>
  <w:num w:numId="45" w16cid:durableId="339046490">
    <w:abstractNumId w:val="23"/>
  </w:num>
  <w:num w:numId="46" w16cid:durableId="1273510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789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mbersExpectedShortRepresentingCells" w:val=" "/>
  </w:docVars>
  <w:rsids>
    <w:rsidRoot w:val="00F05951"/>
    <w:rsid w:val="00000AFE"/>
    <w:rsid w:val="00002C82"/>
    <w:rsid w:val="00007D36"/>
    <w:rsid w:val="0001085B"/>
    <w:rsid w:val="00016EE6"/>
    <w:rsid w:val="00017F50"/>
    <w:rsid w:val="00024A84"/>
    <w:rsid w:val="000264FF"/>
    <w:rsid w:val="0002784F"/>
    <w:rsid w:val="00041846"/>
    <w:rsid w:val="00045BDF"/>
    <w:rsid w:val="000534A6"/>
    <w:rsid w:val="00054401"/>
    <w:rsid w:val="00061A89"/>
    <w:rsid w:val="00061B32"/>
    <w:rsid w:val="00065AEA"/>
    <w:rsid w:val="00076D07"/>
    <w:rsid w:val="00082DD2"/>
    <w:rsid w:val="00086B3A"/>
    <w:rsid w:val="00093656"/>
    <w:rsid w:val="000A18C9"/>
    <w:rsid w:val="000A347D"/>
    <w:rsid w:val="000C2CEB"/>
    <w:rsid w:val="000C6E5C"/>
    <w:rsid w:val="000D296A"/>
    <w:rsid w:val="000D70AA"/>
    <w:rsid w:val="000E2EEB"/>
    <w:rsid w:val="000E2FD6"/>
    <w:rsid w:val="000F1670"/>
    <w:rsid w:val="000F2C76"/>
    <w:rsid w:val="000F54D2"/>
    <w:rsid w:val="00100885"/>
    <w:rsid w:val="00105964"/>
    <w:rsid w:val="0011381C"/>
    <w:rsid w:val="00122BCA"/>
    <w:rsid w:val="001245EC"/>
    <w:rsid w:val="00140701"/>
    <w:rsid w:val="00140A12"/>
    <w:rsid w:val="00146632"/>
    <w:rsid w:val="00146E3B"/>
    <w:rsid w:val="00147C3E"/>
    <w:rsid w:val="00153780"/>
    <w:rsid w:val="00154318"/>
    <w:rsid w:val="001638CE"/>
    <w:rsid w:val="001646A2"/>
    <w:rsid w:val="00171A68"/>
    <w:rsid w:val="00175CA4"/>
    <w:rsid w:val="00177078"/>
    <w:rsid w:val="0017768B"/>
    <w:rsid w:val="00193BCC"/>
    <w:rsid w:val="00197B41"/>
    <w:rsid w:val="001A33AF"/>
    <w:rsid w:val="001A4D43"/>
    <w:rsid w:val="001B0D79"/>
    <w:rsid w:val="001B47B2"/>
    <w:rsid w:val="001C062D"/>
    <w:rsid w:val="001C4A82"/>
    <w:rsid w:val="001C7854"/>
    <w:rsid w:val="001D7102"/>
    <w:rsid w:val="001D78E4"/>
    <w:rsid w:val="001E664D"/>
    <w:rsid w:val="001F2374"/>
    <w:rsid w:val="001F56EC"/>
    <w:rsid w:val="001F7577"/>
    <w:rsid w:val="001F7918"/>
    <w:rsid w:val="0020297F"/>
    <w:rsid w:val="0022064D"/>
    <w:rsid w:val="00220833"/>
    <w:rsid w:val="00221C98"/>
    <w:rsid w:val="002231BC"/>
    <w:rsid w:val="00226E17"/>
    <w:rsid w:val="00234465"/>
    <w:rsid w:val="0023448D"/>
    <w:rsid w:val="00234CEA"/>
    <w:rsid w:val="00237134"/>
    <w:rsid w:val="00247F81"/>
    <w:rsid w:val="0025440E"/>
    <w:rsid w:val="00255AD2"/>
    <w:rsid w:val="00260871"/>
    <w:rsid w:val="00264300"/>
    <w:rsid w:val="00272517"/>
    <w:rsid w:val="00272DE1"/>
    <w:rsid w:val="0027606C"/>
    <w:rsid w:val="0027705D"/>
    <w:rsid w:val="00290922"/>
    <w:rsid w:val="002943BB"/>
    <w:rsid w:val="00294FFF"/>
    <w:rsid w:val="002A2D5A"/>
    <w:rsid w:val="002A32C9"/>
    <w:rsid w:val="002A74D8"/>
    <w:rsid w:val="002B0B6E"/>
    <w:rsid w:val="002B5FAF"/>
    <w:rsid w:val="002B7A8E"/>
    <w:rsid w:val="002C2040"/>
    <w:rsid w:val="002C20FD"/>
    <w:rsid w:val="002C2476"/>
    <w:rsid w:val="002D00AF"/>
    <w:rsid w:val="002D5982"/>
    <w:rsid w:val="002D6023"/>
    <w:rsid w:val="002D7D73"/>
    <w:rsid w:val="002E2B15"/>
    <w:rsid w:val="002E463E"/>
    <w:rsid w:val="002F4D41"/>
    <w:rsid w:val="002F7636"/>
    <w:rsid w:val="00304F46"/>
    <w:rsid w:val="0030558B"/>
    <w:rsid w:val="00311BD2"/>
    <w:rsid w:val="0031364B"/>
    <w:rsid w:val="003152FE"/>
    <w:rsid w:val="00317AF2"/>
    <w:rsid w:val="003257F7"/>
    <w:rsid w:val="0032600D"/>
    <w:rsid w:val="00342B5D"/>
    <w:rsid w:val="00343C8D"/>
    <w:rsid w:val="00353F9E"/>
    <w:rsid w:val="003568FE"/>
    <w:rsid w:val="00356965"/>
    <w:rsid w:val="00364414"/>
    <w:rsid w:val="003744E1"/>
    <w:rsid w:val="00377B42"/>
    <w:rsid w:val="00382480"/>
    <w:rsid w:val="00387E6C"/>
    <w:rsid w:val="0039287D"/>
    <w:rsid w:val="00394C88"/>
    <w:rsid w:val="003A67B1"/>
    <w:rsid w:val="003A77DC"/>
    <w:rsid w:val="003B5DDE"/>
    <w:rsid w:val="003C27DD"/>
    <w:rsid w:val="003C6151"/>
    <w:rsid w:val="003D5C24"/>
    <w:rsid w:val="003D62AA"/>
    <w:rsid w:val="003D684F"/>
    <w:rsid w:val="003E1423"/>
    <w:rsid w:val="003E6D75"/>
    <w:rsid w:val="003F0305"/>
    <w:rsid w:val="003F33FE"/>
    <w:rsid w:val="003F40A0"/>
    <w:rsid w:val="003F4722"/>
    <w:rsid w:val="003F6CD3"/>
    <w:rsid w:val="003F7755"/>
    <w:rsid w:val="00403F9C"/>
    <w:rsid w:val="00411048"/>
    <w:rsid w:val="0042006B"/>
    <w:rsid w:val="004236CE"/>
    <w:rsid w:val="0042665F"/>
    <w:rsid w:val="00430ACC"/>
    <w:rsid w:val="00432854"/>
    <w:rsid w:val="0043576B"/>
    <w:rsid w:val="00441689"/>
    <w:rsid w:val="00445D45"/>
    <w:rsid w:val="00446996"/>
    <w:rsid w:val="00454BBF"/>
    <w:rsid w:val="00455BFD"/>
    <w:rsid w:val="0045631C"/>
    <w:rsid w:val="00457960"/>
    <w:rsid w:val="00464FCC"/>
    <w:rsid w:val="00465634"/>
    <w:rsid w:val="00476480"/>
    <w:rsid w:val="00486AFA"/>
    <w:rsid w:val="00497CCF"/>
    <w:rsid w:val="004A0EC9"/>
    <w:rsid w:val="004A7A61"/>
    <w:rsid w:val="004B77B0"/>
    <w:rsid w:val="004B7841"/>
    <w:rsid w:val="004C5713"/>
    <w:rsid w:val="004C7241"/>
    <w:rsid w:val="004C7479"/>
    <w:rsid w:val="004D6839"/>
    <w:rsid w:val="004E5094"/>
    <w:rsid w:val="004E6102"/>
    <w:rsid w:val="004F11E8"/>
    <w:rsid w:val="0050331A"/>
    <w:rsid w:val="005041F7"/>
    <w:rsid w:val="005109DD"/>
    <w:rsid w:val="00511806"/>
    <w:rsid w:val="005207C0"/>
    <w:rsid w:val="00525CF6"/>
    <w:rsid w:val="005270A7"/>
    <w:rsid w:val="005306DB"/>
    <w:rsid w:val="005324BF"/>
    <w:rsid w:val="00536803"/>
    <w:rsid w:val="00540809"/>
    <w:rsid w:val="00545706"/>
    <w:rsid w:val="00551F10"/>
    <w:rsid w:val="005552F2"/>
    <w:rsid w:val="00556059"/>
    <w:rsid w:val="00560870"/>
    <w:rsid w:val="00561D78"/>
    <w:rsid w:val="00566D07"/>
    <w:rsid w:val="005672B7"/>
    <w:rsid w:val="00571095"/>
    <w:rsid w:val="005724E8"/>
    <w:rsid w:val="00576E5B"/>
    <w:rsid w:val="0057728A"/>
    <w:rsid w:val="00584A70"/>
    <w:rsid w:val="00586C2C"/>
    <w:rsid w:val="005A1EDD"/>
    <w:rsid w:val="005A3B67"/>
    <w:rsid w:val="005B094D"/>
    <w:rsid w:val="005B1F37"/>
    <w:rsid w:val="005B2C81"/>
    <w:rsid w:val="005B2CCA"/>
    <w:rsid w:val="005B594E"/>
    <w:rsid w:val="005C64C7"/>
    <w:rsid w:val="005C6A8F"/>
    <w:rsid w:val="005D3D60"/>
    <w:rsid w:val="005E0269"/>
    <w:rsid w:val="005E1517"/>
    <w:rsid w:val="005F2B95"/>
    <w:rsid w:val="005F3EF6"/>
    <w:rsid w:val="005F4F64"/>
    <w:rsid w:val="005F792D"/>
    <w:rsid w:val="005F7EC0"/>
    <w:rsid w:val="00602B5E"/>
    <w:rsid w:val="00610669"/>
    <w:rsid w:val="00615F0F"/>
    <w:rsid w:val="006210ED"/>
    <w:rsid w:val="006230DE"/>
    <w:rsid w:val="00623987"/>
    <w:rsid w:val="0062719F"/>
    <w:rsid w:val="00630BEB"/>
    <w:rsid w:val="0063203A"/>
    <w:rsid w:val="00647D4D"/>
    <w:rsid w:val="006505F8"/>
    <w:rsid w:val="00652DCB"/>
    <w:rsid w:val="00653121"/>
    <w:rsid w:val="00655D24"/>
    <w:rsid w:val="00656A21"/>
    <w:rsid w:val="0067514A"/>
    <w:rsid w:val="00680F44"/>
    <w:rsid w:val="0068107D"/>
    <w:rsid w:val="00685497"/>
    <w:rsid w:val="00685ED7"/>
    <w:rsid w:val="006870BE"/>
    <w:rsid w:val="006939F7"/>
    <w:rsid w:val="006A1137"/>
    <w:rsid w:val="006B2A0B"/>
    <w:rsid w:val="006B375B"/>
    <w:rsid w:val="006B5FC7"/>
    <w:rsid w:val="006B7672"/>
    <w:rsid w:val="006C026E"/>
    <w:rsid w:val="006D5294"/>
    <w:rsid w:val="006D5387"/>
    <w:rsid w:val="006D605D"/>
    <w:rsid w:val="006D76E4"/>
    <w:rsid w:val="006E32D0"/>
    <w:rsid w:val="0070516E"/>
    <w:rsid w:val="007064D1"/>
    <w:rsid w:val="00720F6D"/>
    <w:rsid w:val="00723880"/>
    <w:rsid w:val="00725573"/>
    <w:rsid w:val="0073760E"/>
    <w:rsid w:val="007379F7"/>
    <w:rsid w:val="00743D74"/>
    <w:rsid w:val="00744205"/>
    <w:rsid w:val="007479B1"/>
    <w:rsid w:val="00760426"/>
    <w:rsid w:val="0076401C"/>
    <w:rsid w:val="007731D9"/>
    <w:rsid w:val="00780089"/>
    <w:rsid w:val="00786EC4"/>
    <w:rsid w:val="0079177A"/>
    <w:rsid w:val="00797329"/>
    <w:rsid w:val="007A4D22"/>
    <w:rsid w:val="007A6E80"/>
    <w:rsid w:val="007B2373"/>
    <w:rsid w:val="007B2E02"/>
    <w:rsid w:val="007C1352"/>
    <w:rsid w:val="007C26BB"/>
    <w:rsid w:val="007C64BB"/>
    <w:rsid w:val="007C726C"/>
    <w:rsid w:val="007D2CCC"/>
    <w:rsid w:val="007D72B6"/>
    <w:rsid w:val="007E2A36"/>
    <w:rsid w:val="007F1478"/>
    <w:rsid w:val="007F33F1"/>
    <w:rsid w:val="007F6B50"/>
    <w:rsid w:val="008002AE"/>
    <w:rsid w:val="0080325D"/>
    <w:rsid w:val="008047B8"/>
    <w:rsid w:val="00805981"/>
    <w:rsid w:val="00824439"/>
    <w:rsid w:val="00824F28"/>
    <w:rsid w:val="008305F5"/>
    <w:rsid w:val="00844186"/>
    <w:rsid w:val="00844837"/>
    <w:rsid w:val="008525F4"/>
    <w:rsid w:val="00853B2B"/>
    <w:rsid w:val="0085514D"/>
    <w:rsid w:val="00855A67"/>
    <w:rsid w:val="0085632C"/>
    <w:rsid w:val="00857896"/>
    <w:rsid w:val="0086059D"/>
    <w:rsid w:val="00864321"/>
    <w:rsid w:val="0086440D"/>
    <w:rsid w:val="008763F3"/>
    <w:rsid w:val="00876C06"/>
    <w:rsid w:val="00885259"/>
    <w:rsid w:val="008879F0"/>
    <w:rsid w:val="008A3D99"/>
    <w:rsid w:val="008A4996"/>
    <w:rsid w:val="008B1491"/>
    <w:rsid w:val="008B1636"/>
    <w:rsid w:val="008D0048"/>
    <w:rsid w:val="008D136E"/>
    <w:rsid w:val="008D7C17"/>
    <w:rsid w:val="008E085D"/>
    <w:rsid w:val="008E3023"/>
    <w:rsid w:val="008E444A"/>
    <w:rsid w:val="008F2989"/>
    <w:rsid w:val="009048B0"/>
    <w:rsid w:val="00905B76"/>
    <w:rsid w:val="00907B0C"/>
    <w:rsid w:val="00921242"/>
    <w:rsid w:val="00924B36"/>
    <w:rsid w:val="00935E53"/>
    <w:rsid w:val="0095084D"/>
    <w:rsid w:val="00952324"/>
    <w:rsid w:val="009574F6"/>
    <w:rsid w:val="00962B03"/>
    <w:rsid w:val="00966F61"/>
    <w:rsid w:val="009729F6"/>
    <w:rsid w:val="00976460"/>
    <w:rsid w:val="00976D7A"/>
    <w:rsid w:val="00977170"/>
    <w:rsid w:val="009773E5"/>
    <w:rsid w:val="00977703"/>
    <w:rsid w:val="009871AF"/>
    <w:rsid w:val="00994D21"/>
    <w:rsid w:val="009A33BE"/>
    <w:rsid w:val="009B35B5"/>
    <w:rsid w:val="009C5DB4"/>
    <w:rsid w:val="009D0166"/>
    <w:rsid w:val="009D0252"/>
    <w:rsid w:val="009D1CAC"/>
    <w:rsid w:val="009D5FE0"/>
    <w:rsid w:val="009E2069"/>
    <w:rsid w:val="009E2485"/>
    <w:rsid w:val="009E28D9"/>
    <w:rsid w:val="009F642B"/>
    <w:rsid w:val="00A00C79"/>
    <w:rsid w:val="00A04358"/>
    <w:rsid w:val="00A17C14"/>
    <w:rsid w:val="00A21D63"/>
    <w:rsid w:val="00A32BA1"/>
    <w:rsid w:val="00A36BB1"/>
    <w:rsid w:val="00A37CA3"/>
    <w:rsid w:val="00A37F76"/>
    <w:rsid w:val="00A4014E"/>
    <w:rsid w:val="00A43AB1"/>
    <w:rsid w:val="00A55AE7"/>
    <w:rsid w:val="00A5638A"/>
    <w:rsid w:val="00A56608"/>
    <w:rsid w:val="00A577FF"/>
    <w:rsid w:val="00A57AD1"/>
    <w:rsid w:val="00A61656"/>
    <w:rsid w:val="00A63704"/>
    <w:rsid w:val="00A6429C"/>
    <w:rsid w:val="00A73230"/>
    <w:rsid w:val="00A77F71"/>
    <w:rsid w:val="00A83412"/>
    <w:rsid w:val="00A87C54"/>
    <w:rsid w:val="00A90ADD"/>
    <w:rsid w:val="00A9417C"/>
    <w:rsid w:val="00A94B00"/>
    <w:rsid w:val="00A96184"/>
    <w:rsid w:val="00AA4A5E"/>
    <w:rsid w:val="00AB0510"/>
    <w:rsid w:val="00AB7AB6"/>
    <w:rsid w:val="00AD2FA6"/>
    <w:rsid w:val="00AD3E56"/>
    <w:rsid w:val="00AD78FC"/>
    <w:rsid w:val="00AD7A04"/>
    <w:rsid w:val="00AE23D5"/>
    <w:rsid w:val="00AE4553"/>
    <w:rsid w:val="00AE58FC"/>
    <w:rsid w:val="00AF72B7"/>
    <w:rsid w:val="00B00585"/>
    <w:rsid w:val="00B00A44"/>
    <w:rsid w:val="00B12005"/>
    <w:rsid w:val="00B208E0"/>
    <w:rsid w:val="00B355AB"/>
    <w:rsid w:val="00B36F6C"/>
    <w:rsid w:val="00B43D8B"/>
    <w:rsid w:val="00B53594"/>
    <w:rsid w:val="00B555E5"/>
    <w:rsid w:val="00B5580A"/>
    <w:rsid w:val="00B66444"/>
    <w:rsid w:val="00B678AB"/>
    <w:rsid w:val="00B67969"/>
    <w:rsid w:val="00B70F32"/>
    <w:rsid w:val="00B73130"/>
    <w:rsid w:val="00B74070"/>
    <w:rsid w:val="00B74CD1"/>
    <w:rsid w:val="00B856B1"/>
    <w:rsid w:val="00B93802"/>
    <w:rsid w:val="00BA1D64"/>
    <w:rsid w:val="00BA41D4"/>
    <w:rsid w:val="00BC141E"/>
    <w:rsid w:val="00BC45B6"/>
    <w:rsid w:val="00BE28EC"/>
    <w:rsid w:val="00BE58FC"/>
    <w:rsid w:val="00C12C9E"/>
    <w:rsid w:val="00C1359D"/>
    <w:rsid w:val="00C1412F"/>
    <w:rsid w:val="00C2021F"/>
    <w:rsid w:val="00C27455"/>
    <w:rsid w:val="00C30C3B"/>
    <w:rsid w:val="00C36F76"/>
    <w:rsid w:val="00C37E98"/>
    <w:rsid w:val="00C420F9"/>
    <w:rsid w:val="00C4216B"/>
    <w:rsid w:val="00C441B9"/>
    <w:rsid w:val="00C53265"/>
    <w:rsid w:val="00C87084"/>
    <w:rsid w:val="00C94F9F"/>
    <w:rsid w:val="00CA190C"/>
    <w:rsid w:val="00CA568C"/>
    <w:rsid w:val="00CA5B44"/>
    <w:rsid w:val="00CB06D9"/>
    <w:rsid w:val="00CB720E"/>
    <w:rsid w:val="00CC0943"/>
    <w:rsid w:val="00CC1E41"/>
    <w:rsid w:val="00CC4DEF"/>
    <w:rsid w:val="00CC5FEB"/>
    <w:rsid w:val="00CD3C62"/>
    <w:rsid w:val="00CD7A3F"/>
    <w:rsid w:val="00CD7AFB"/>
    <w:rsid w:val="00CE48B3"/>
    <w:rsid w:val="00CF43D6"/>
    <w:rsid w:val="00D012A2"/>
    <w:rsid w:val="00D066D7"/>
    <w:rsid w:val="00D1294A"/>
    <w:rsid w:val="00D211D1"/>
    <w:rsid w:val="00D256F7"/>
    <w:rsid w:val="00D3288F"/>
    <w:rsid w:val="00D370E2"/>
    <w:rsid w:val="00D47AE7"/>
    <w:rsid w:val="00D536CE"/>
    <w:rsid w:val="00D5483E"/>
    <w:rsid w:val="00D72193"/>
    <w:rsid w:val="00D73509"/>
    <w:rsid w:val="00D82A42"/>
    <w:rsid w:val="00D8306D"/>
    <w:rsid w:val="00D92030"/>
    <w:rsid w:val="00DA2143"/>
    <w:rsid w:val="00DA591A"/>
    <w:rsid w:val="00DB0BCD"/>
    <w:rsid w:val="00DB0E55"/>
    <w:rsid w:val="00DB41E7"/>
    <w:rsid w:val="00DB6D80"/>
    <w:rsid w:val="00DC1BA8"/>
    <w:rsid w:val="00DC21E9"/>
    <w:rsid w:val="00DC50A3"/>
    <w:rsid w:val="00DD158F"/>
    <w:rsid w:val="00DD58ED"/>
    <w:rsid w:val="00DE0119"/>
    <w:rsid w:val="00DE57C8"/>
    <w:rsid w:val="00DF1CF2"/>
    <w:rsid w:val="00E13CE4"/>
    <w:rsid w:val="00E14972"/>
    <w:rsid w:val="00E14B3F"/>
    <w:rsid w:val="00E16888"/>
    <w:rsid w:val="00E2520C"/>
    <w:rsid w:val="00E25951"/>
    <w:rsid w:val="00E25A0B"/>
    <w:rsid w:val="00E3404B"/>
    <w:rsid w:val="00E45795"/>
    <w:rsid w:val="00E47B24"/>
    <w:rsid w:val="00E47C35"/>
    <w:rsid w:val="00E77073"/>
    <w:rsid w:val="00E82713"/>
    <w:rsid w:val="00E8557F"/>
    <w:rsid w:val="00EA230E"/>
    <w:rsid w:val="00EA37D3"/>
    <w:rsid w:val="00EA5879"/>
    <w:rsid w:val="00EB415F"/>
    <w:rsid w:val="00ED5603"/>
    <w:rsid w:val="00EE7D73"/>
    <w:rsid w:val="00EF4981"/>
    <w:rsid w:val="00F05951"/>
    <w:rsid w:val="00F065F2"/>
    <w:rsid w:val="00F06F48"/>
    <w:rsid w:val="00F07691"/>
    <w:rsid w:val="00F1070C"/>
    <w:rsid w:val="00F269D1"/>
    <w:rsid w:val="00F31870"/>
    <w:rsid w:val="00F3247E"/>
    <w:rsid w:val="00F32583"/>
    <w:rsid w:val="00F375A5"/>
    <w:rsid w:val="00F451FE"/>
    <w:rsid w:val="00F479BD"/>
    <w:rsid w:val="00F513DC"/>
    <w:rsid w:val="00F55FFE"/>
    <w:rsid w:val="00F64120"/>
    <w:rsid w:val="00F70ACC"/>
    <w:rsid w:val="00F74086"/>
    <w:rsid w:val="00F75021"/>
    <w:rsid w:val="00F83A05"/>
    <w:rsid w:val="00F87609"/>
    <w:rsid w:val="00FA068A"/>
    <w:rsid w:val="00FA52F7"/>
    <w:rsid w:val="00FB0290"/>
    <w:rsid w:val="00FB445B"/>
    <w:rsid w:val="00FB5F09"/>
    <w:rsid w:val="00FD587C"/>
    <w:rsid w:val="00FE20F1"/>
    <w:rsid w:val="00FE2D7F"/>
    <w:rsid w:val="00FF2D98"/>
    <w:rsid w:val="00FF41E3"/>
    <w:rsid w:val="00FF56A8"/>
    <w:rsid w:val="00F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1"/>
    <o:shapelayout v:ext="edit">
      <o:idmap v:ext="edit" data="1"/>
    </o:shapelayout>
  </w:shapeDefaults>
  <w:doNotEmbedSmartTags/>
  <w:decimalSymbol w:val="."/>
  <w:listSeparator w:val=","/>
  <w14:docId w14:val="79AC6EC1"/>
  <w15:chartTrackingRefBased/>
  <w15:docId w15:val="{4B04136C-51E6-4501-A14A-66C19ADD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870"/>
    <w:rPr>
      <w:rFonts w:ascii="Arial" w:hAnsi="Arial" w:cs="Verdana"/>
      <w:sz w:val="24"/>
      <w:szCs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bCs/>
      <w:sz w:val="28"/>
      <w:szCs w:val="28"/>
    </w:rPr>
  </w:style>
  <w:style w:type="paragraph" w:styleId="Heading4">
    <w:name w:val="heading 4"/>
    <w:basedOn w:val="Normal"/>
    <w:next w:val="Normal"/>
    <w:qFormat/>
    <w:pPr>
      <w:keepNext/>
      <w:shd w:val="pct10" w:color="000000" w:fill="FFFFFF"/>
      <w:jc w:val="center"/>
      <w:outlineLvl w:val="3"/>
    </w:pPr>
    <w:rPr>
      <w:b/>
      <w:bCs/>
    </w:rPr>
  </w:style>
  <w:style w:type="paragraph" w:styleId="Heading5">
    <w:name w:val="heading 5"/>
    <w:basedOn w:val="Normal"/>
    <w:next w:val="Normal"/>
    <w:qFormat/>
    <w:pPr>
      <w:keepNext/>
      <w:spacing w:line="360" w:lineRule="auto"/>
      <w:outlineLvl w:val="4"/>
    </w:pPr>
    <w:rPr>
      <w:b/>
      <w:bCs/>
    </w:rPr>
  </w:style>
  <w:style w:type="paragraph" w:styleId="Heading6">
    <w:name w:val="heading 6"/>
    <w:basedOn w:val="Normal"/>
    <w:next w:val="Normal"/>
    <w:qFormat/>
    <w:pPr>
      <w:keepNext/>
      <w:outlineLvl w:val="5"/>
    </w:pPr>
    <w:rPr>
      <w:sz w:val="36"/>
      <w:szCs w:val="36"/>
    </w:rPr>
  </w:style>
  <w:style w:type="paragraph" w:styleId="Heading7">
    <w:name w:val="heading 7"/>
    <w:basedOn w:val="Normal"/>
    <w:next w:val="Normal"/>
    <w:qFormat/>
    <w:pPr>
      <w:keepNext/>
      <w:shd w:val="pct10" w:color="000000" w:fill="FFFFFF"/>
      <w:outlineLvl w:val="6"/>
    </w:pPr>
    <w:rPr>
      <w:sz w:val="44"/>
      <w:szCs w:val="44"/>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shd w:val="pct10" w:color="000000" w:fill="FFFFFF"/>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style>
  <w:style w:type="paragraph" w:styleId="Footer">
    <w:name w:val="footer"/>
    <w:basedOn w:val="Normal"/>
    <w:link w:val="FooterChar"/>
    <w:uiPriority w:val="99"/>
    <w:pPr>
      <w:tabs>
        <w:tab w:val="center" w:pos="4153"/>
        <w:tab w:val="right" w:pos="8306"/>
      </w:tabs>
      <w:jc w:val="both"/>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both"/>
    </w:pPr>
    <w:rPr>
      <w:b/>
      <w:bCs/>
      <w:i/>
      <w:iCs/>
    </w:rPr>
  </w:style>
  <w:style w:type="paragraph" w:styleId="BodyText2">
    <w:name w:val="Body Text 2"/>
    <w:basedOn w:val="Normal"/>
    <w:rPr>
      <w:b/>
      <w:bCs/>
    </w:rPr>
  </w:style>
  <w:style w:type="paragraph" w:styleId="Title">
    <w:name w:val="Title"/>
    <w:basedOn w:val="Normal"/>
    <w:link w:val="TitleChar"/>
    <w:qFormat/>
    <w:pPr>
      <w:jc w:val="center"/>
    </w:pPr>
    <w:rPr>
      <w:b/>
      <w:bCs/>
      <w:sz w:val="28"/>
      <w:szCs w:val="28"/>
    </w:rPr>
  </w:style>
  <w:style w:type="paragraph" w:styleId="BodyTextIndent">
    <w:name w:val="Body Text Indent"/>
    <w:basedOn w:val="Normal"/>
    <w:pPr>
      <w:ind w:left="720"/>
      <w:jc w:val="both"/>
    </w:pPr>
    <w:rPr>
      <w:b/>
      <w:bCs/>
      <w:i/>
      <w:iCs/>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bCs/>
    </w:rPr>
  </w:style>
  <w:style w:type="table" w:styleId="TableGrid">
    <w:name w:val="Table Grid"/>
    <w:basedOn w:val="TableNormal"/>
    <w:uiPriority w:val="39"/>
    <w:rsid w:val="003F7755"/>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F4722"/>
    <w:rPr>
      <w:rFonts w:ascii="Arial" w:hAnsi="Arial" w:cs="Verdana"/>
      <w:sz w:val="24"/>
      <w:szCs w:val="22"/>
    </w:rPr>
  </w:style>
  <w:style w:type="paragraph" w:styleId="BodyText3">
    <w:name w:val="Body Text 3"/>
    <w:basedOn w:val="Normal"/>
    <w:link w:val="BodyText3Char"/>
    <w:rsid w:val="0002784F"/>
    <w:pPr>
      <w:spacing w:after="120"/>
    </w:pPr>
    <w:rPr>
      <w:sz w:val="16"/>
      <w:szCs w:val="16"/>
    </w:rPr>
  </w:style>
  <w:style w:type="character" w:customStyle="1" w:styleId="BodyText3Char">
    <w:name w:val="Body Text 3 Char"/>
    <w:link w:val="BodyText3"/>
    <w:rsid w:val="0002784F"/>
    <w:rPr>
      <w:rFonts w:ascii="Arial" w:hAnsi="Arial" w:cs="Verdana"/>
      <w:sz w:val="16"/>
      <w:szCs w:val="16"/>
    </w:rPr>
  </w:style>
  <w:style w:type="character" w:customStyle="1" w:styleId="HeaderChar">
    <w:name w:val="Header Char"/>
    <w:link w:val="Header"/>
    <w:uiPriority w:val="99"/>
    <w:rsid w:val="0002784F"/>
    <w:rPr>
      <w:rFonts w:ascii="Arial" w:hAnsi="Arial" w:cs="Verdana"/>
      <w:sz w:val="24"/>
      <w:szCs w:val="22"/>
    </w:rPr>
  </w:style>
  <w:style w:type="paragraph" w:styleId="ListParagraph">
    <w:name w:val="List Paragraph"/>
    <w:basedOn w:val="Normal"/>
    <w:uiPriority w:val="34"/>
    <w:qFormat/>
    <w:rsid w:val="00CE48B3"/>
    <w:pPr>
      <w:ind w:left="720"/>
      <w:contextualSpacing/>
    </w:pPr>
    <w:rPr>
      <w:rFonts w:cs="Times New Roman"/>
      <w:sz w:val="22"/>
      <w:szCs w:val="24"/>
    </w:rPr>
  </w:style>
  <w:style w:type="paragraph" w:customStyle="1" w:styleId="Default">
    <w:name w:val="Default"/>
    <w:rsid w:val="005608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370E2"/>
    <w:rPr>
      <w:rFonts w:ascii="Tahoma" w:hAnsi="Tahoma" w:cs="Tahoma"/>
      <w:sz w:val="16"/>
      <w:szCs w:val="16"/>
    </w:rPr>
  </w:style>
  <w:style w:type="character" w:customStyle="1" w:styleId="BalloonTextChar">
    <w:name w:val="Balloon Text Char"/>
    <w:link w:val="BalloonText"/>
    <w:rsid w:val="00D370E2"/>
    <w:rPr>
      <w:rFonts w:ascii="Tahoma" w:hAnsi="Tahoma" w:cs="Tahoma"/>
      <w:sz w:val="16"/>
      <w:szCs w:val="16"/>
    </w:rPr>
  </w:style>
  <w:style w:type="paragraph" w:styleId="NoSpacing">
    <w:name w:val="No Spacing"/>
    <w:uiPriority w:val="1"/>
    <w:qFormat/>
    <w:rsid w:val="00723880"/>
    <w:rPr>
      <w:rFonts w:ascii="Arial" w:hAnsi="Arial" w:cs="Verdana"/>
      <w:sz w:val="24"/>
      <w:szCs w:val="22"/>
    </w:rPr>
  </w:style>
  <w:style w:type="character" w:customStyle="1" w:styleId="TitleChar">
    <w:name w:val="Title Char"/>
    <w:link w:val="Title"/>
    <w:locked/>
    <w:rsid w:val="005C6A8F"/>
    <w:rPr>
      <w:rFonts w:ascii="Arial" w:hAnsi="Arial" w:cs="Verdana"/>
      <w:b/>
      <w:bCs/>
      <w:sz w:val="28"/>
      <w:szCs w:val="28"/>
    </w:rPr>
  </w:style>
  <w:style w:type="paragraph" w:styleId="NormalWeb">
    <w:name w:val="Normal (Web)"/>
    <w:basedOn w:val="Normal"/>
    <w:uiPriority w:val="99"/>
    <w:unhideWhenUsed/>
    <w:rsid w:val="00D72193"/>
    <w:pPr>
      <w:spacing w:after="180"/>
    </w:pPr>
    <w:rPr>
      <w:rFonts w:ascii="Times New Roman" w:hAnsi="Times New Roman" w:cs="Times New Roman"/>
      <w:szCs w:val="24"/>
    </w:rPr>
  </w:style>
  <w:style w:type="character" w:styleId="Strong">
    <w:name w:val="Strong"/>
    <w:uiPriority w:val="22"/>
    <w:qFormat/>
    <w:rsid w:val="00D72193"/>
    <w:rPr>
      <w:b/>
      <w:bCs/>
    </w:rPr>
  </w:style>
  <w:style w:type="table" w:customStyle="1" w:styleId="TableGrid41">
    <w:name w:val="Table Grid41"/>
    <w:basedOn w:val="TableNormal"/>
    <w:next w:val="TableGrid"/>
    <w:uiPriority w:val="39"/>
    <w:rsid w:val="00455B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512117">
      <w:bodyDiv w:val="1"/>
      <w:marLeft w:val="0"/>
      <w:marRight w:val="0"/>
      <w:marTop w:val="0"/>
      <w:marBottom w:val="0"/>
      <w:divBdr>
        <w:top w:val="none" w:sz="0" w:space="0" w:color="auto"/>
        <w:left w:val="none" w:sz="0" w:space="0" w:color="auto"/>
        <w:bottom w:val="none" w:sz="0" w:space="0" w:color="auto"/>
        <w:right w:val="none" w:sz="0" w:space="0" w:color="auto"/>
      </w:divBdr>
    </w:div>
    <w:div w:id="297151342">
      <w:bodyDiv w:val="1"/>
      <w:marLeft w:val="0"/>
      <w:marRight w:val="0"/>
      <w:marTop w:val="0"/>
      <w:marBottom w:val="0"/>
      <w:divBdr>
        <w:top w:val="none" w:sz="0" w:space="0" w:color="auto"/>
        <w:left w:val="none" w:sz="0" w:space="0" w:color="auto"/>
        <w:bottom w:val="none" w:sz="0" w:space="0" w:color="auto"/>
        <w:right w:val="none" w:sz="0" w:space="0" w:color="auto"/>
      </w:divBdr>
    </w:div>
    <w:div w:id="495463475">
      <w:bodyDiv w:val="1"/>
      <w:marLeft w:val="0"/>
      <w:marRight w:val="0"/>
      <w:marTop w:val="0"/>
      <w:marBottom w:val="0"/>
      <w:divBdr>
        <w:top w:val="none" w:sz="0" w:space="0" w:color="auto"/>
        <w:left w:val="none" w:sz="0" w:space="0" w:color="auto"/>
        <w:bottom w:val="none" w:sz="0" w:space="0" w:color="auto"/>
        <w:right w:val="none" w:sz="0" w:space="0" w:color="auto"/>
      </w:divBdr>
    </w:div>
    <w:div w:id="554200330">
      <w:bodyDiv w:val="1"/>
      <w:marLeft w:val="0"/>
      <w:marRight w:val="0"/>
      <w:marTop w:val="0"/>
      <w:marBottom w:val="0"/>
      <w:divBdr>
        <w:top w:val="none" w:sz="0" w:space="0" w:color="auto"/>
        <w:left w:val="none" w:sz="0" w:space="0" w:color="auto"/>
        <w:bottom w:val="none" w:sz="0" w:space="0" w:color="auto"/>
        <w:right w:val="none" w:sz="0" w:space="0" w:color="auto"/>
      </w:divBdr>
    </w:div>
    <w:div w:id="716318621">
      <w:bodyDiv w:val="1"/>
      <w:marLeft w:val="0"/>
      <w:marRight w:val="0"/>
      <w:marTop w:val="0"/>
      <w:marBottom w:val="0"/>
      <w:divBdr>
        <w:top w:val="none" w:sz="0" w:space="0" w:color="auto"/>
        <w:left w:val="none" w:sz="0" w:space="0" w:color="auto"/>
        <w:bottom w:val="none" w:sz="0" w:space="0" w:color="auto"/>
        <w:right w:val="none" w:sz="0" w:space="0" w:color="auto"/>
      </w:divBdr>
    </w:div>
    <w:div w:id="748621004">
      <w:bodyDiv w:val="1"/>
      <w:marLeft w:val="0"/>
      <w:marRight w:val="0"/>
      <w:marTop w:val="0"/>
      <w:marBottom w:val="0"/>
      <w:divBdr>
        <w:top w:val="none" w:sz="0" w:space="0" w:color="auto"/>
        <w:left w:val="none" w:sz="0" w:space="0" w:color="auto"/>
        <w:bottom w:val="none" w:sz="0" w:space="0" w:color="auto"/>
        <w:right w:val="none" w:sz="0" w:space="0" w:color="auto"/>
      </w:divBdr>
    </w:div>
    <w:div w:id="822241615">
      <w:bodyDiv w:val="1"/>
      <w:marLeft w:val="0"/>
      <w:marRight w:val="0"/>
      <w:marTop w:val="0"/>
      <w:marBottom w:val="0"/>
      <w:divBdr>
        <w:top w:val="none" w:sz="0" w:space="0" w:color="auto"/>
        <w:left w:val="none" w:sz="0" w:space="0" w:color="auto"/>
        <w:bottom w:val="none" w:sz="0" w:space="0" w:color="auto"/>
        <w:right w:val="none" w:sz="0" w:space="0" w:color="auto"/>
      </w:divBdr>
    </w:div>
    <w:div w:id="1161386977">
      <w:bodyDiv w:val="1"/>
      <w:marLeft w:val="0"/>
      <w:marRight w:val="0"/>
      <w:marTop w:val="0"/>
      <w:marBottom w:val="0"/>
      <w:divBdr>
        <w:top w:val="none" w:sz="0" w:space="0" w:color="auto"/>
        <w:left w:val="none" w:sz="0" w:space="0" w:color="auto"/>
        <w:bottom w:val="none" w:sz="0" w:space="0" w:color="auto"/>
        <w:right w:val="none" w:sz="0" w:space="0" w:color="auto"/>
      </w:divBdr>
    </w:div>
    <w:div w:id="1312637479">
      <w:bodyDiv w:val="1"/>
      <w:marLeft w:val="0"/>
      <w:marRight w:val="0"/>
      <w:marTop w:val="0"/>
      <w:marBottom w:val="0"/>
      <w:divBdr>
        <w:top w:val="none" w:sz="0" w:space="0" w:color="auto"/>
        <w:left w:val="none" w:sz="0" w:space="0" w:color="auto"/>
        <w:bottom w:val="none" w:sz="0" w:space="0" w:color="auto"/>
        <w:right w:val="none" w:sz="0" w:space="0" w:color="auto"/>
      </w:divBdr>
    </w:div>
    <w:div w:id="1326401201">
      <w:bodyDiv w:val="1"/>
      <w:marLeft w:val="0"/>
      <w:marRight w:val="0"/>
      <w:marTop w:val="0"/>
      <w:marBottom w:val="0"/>
      <w:divBdr>
        <w:top w:val="none" w:sz="0" w:space="0" w:color="auto"/>
        <w:left w:val="none" w:sz="0" w:space="0" w:color="auto"/>
        <w:bottom w:val="none" w:sz="0" w:space="0" w:color="auto"/>
        <w:right w:val="none" w:sz="0" w:space="0" w:color="auto"/>
      </w:divBdr>
    </w:div>
    <w:div w:id="1419406660">
      <w:bodyDiv w:val="1"/>
      <w:marLeft w:val="0"/>
      <w:marRight w:val="0"/>
      <w:marTop w:val="0"/>
      <w:marBottom w:val="0"/>
      <w:divBdr>
        <w:top w:val="none" w:sz="0" w:space="0" w:color="auto"/>
        <w:left w:val="none" w:sz="0" w:space="0" w:color="auto"/>
        <w:bottom w:val="none" w:sz="0" w:space="0" w:color="auto"/>
        <w:right w:val="none" w:sz="0" w:space="0" w:color="auto"/>
      </w:divBdr>
    </w:div>
    <w:div w:id="1610311743">
      <w:bodyDiv w:val="1"/>
      <w:marLeft w:val="0"/>
      <w:marRight w:val="0"/>
      <w:marTop w:val="0"/>
      <w:marBottom w:val="0"/>
      <w:divBdr>
        <w:top w:val="none" w:sz="0" w:space="0" w:color="auto"/>
        <w:left w:val="none" w:sz="0" w:space="0" w:color="auto"/>
        <w:bottom w:val="none" w:sz="0" w:space="0" w:color="auto"/>
        <w:right w:val="none" w:sz="0" w:space="0" w:color="auto"/>
      </w:divBdr>
    </w:div>
    <w:div w:id="1728143756">
      <w:bodyDiv w:val="1"/>
      <w:marLeft w:val="0"/>
      <w:marRight w:val="0"/>
      <w:marTop w:val="0"/>
      <w:marBottom w:val="0"/>
      <w:divBdr>
        <w:top w:val="none" w:sz="0" w:space="0" w:color="auto"/>
        <w:left w:val="none" w:sz="0" w:space="0" w:color="auto"/>
        <w:bottom w:val="none" w:sz="0" w:space="0" w:color="auto"/>
        <w:right w:val="none" w:sz="0" w:space="0" w:color="auto"/>
      </w:divBdr>
    </w:div>
    <w:div w:id="1831405360">
      <w:bodyDiv w:val="1"/>
      <w:marLeft w:val="0"/>
      <w:marRight w:val="0"/>
      <w:marTop w:val="0"/>
      <w:marBottom w:val="0"/>
      <w:divBdr>
        <w:top w:val="none" w:sz="0" w:space="0" w:color="auto"/>
        <w:left w:val="none" w:sz="0" w:space="0" w:color="auto"/>
        <w:bottom w:val="none" w:sz="0" w:space="0" w:color="auto"/>
        <w:right w:val="none" w:sz="0" w:space="0" w:color="auto"/>
      </w:divBdr>
    </w:div>
    <w:div w:id="1888294838">
      <w:bodyDiv w:val="1"/>
      <w:marLeft w:val="0"/>
      <w:marRight w:val="0"/>
      <w:marTop w:val="0"/>
      <w:marBottom w:val="0"/>
      <w:divBdr>
        <w:top w:val="none" w:sz="0" w:space="0" w:color="auto"/>
        <w:left w:val="none" w:sz="0" w:space="0" w:color="auto"/>
        <w:bottom w:val="none" w:sz="0" w:space="0" w:color="auto"/>
        <w:right w:val="none" w:sz="0" w:space="0" w:color="auto"/>
      </w:divBdr>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05738371">
      <w:bodyDiv w:val="1"/>
      <w:marLeft w:val="0"/>
      <w:marRight w:val="0"/>
      <w:marTop w:val="0"/>
      <w:marBottom w:val="0"/>
      <w:divBdr>
        <w:top w:val="none" w:sz="0" w:space="0" w:color="auto"/>
        <w:left w:val="none" w:sz="0" w:space="0" w:color="auto"/>
        <w:bottom w:val="none" w:sz="0" w:space="0" w:color="auto"/>
        <w:right w:val="none" w:sz="0" w:space="0" w:color="auto"/>
      </w:divBdr>
    </w:div>
    <w:div w:id="20343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AB2F-658D-476B-BE62-D3FEA848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2898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Agenda Template</vt:lpstr>
    </vt:vector>
  </TitlesOfParts>
  <Company>One Connect Limited</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bwood003</dc:creator>
  <cp:keywords/>
  <cp:lastModifiedBy>Freeman, Steve</cp:lastModifiedBy>
  <cp:revision>11</cp:revision>
  <cp:lastPrinted>2018-03-01T10:16:00Z</cp:lastPrinted>
  <dcterms:created xsi:type="dcterms:W3CDTF">2023-03-07T15:47:00Z</dcterms:created>
  <dcterms:modified xsi:type="dcterms:W3CDTF">2024-03-19T10:28:00Z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Interim Combined Audit Committee</vt:lpwstr>
  </property>
  <property fmtid="{D5CDD505-2E9C-101B-9397-08002B2CF9AE}" pid="3" name="MeetingDateLegal">
    <vt:lpwstr>Monday, 2nd December, 2013</vt:lpwstr>
  </property>
  <property fmtid="{D5CDD505-2E9C-101B-9397-08002B2CF9AE}" pid="4" name="MeetingTime">
    <vt:lpwstr>1.03 pm</vt:lpwstr>
  </property>
  <property fmtid="{D5CDD505-2E9C-101B-9397-08002B2CF9AE}" pid="5" name="MeetingLocation">
    <vt:lpwstr>Cabinet Room C - County Hall</vt:lpwstr>
  </property>
  <property fmtid="{D5CDD505-2E9C-101B-9397-08002B2CF9AE}" pid="6" name="MeetingContact">
    <vt:lpwstr>Mrs Beverly A Wood</vt:lpwstr>
  </property>
  <property fmtid="{D5CDD505-2E9C-101B-9397-08002B2CF9AE}" pid="7" name="MeetingContact_2">
    <vt:lpwstr>01772 533486</vt:lpwstr>
  </property>
  <property fmtid="{D5CDD505-2E9C-101B-9397-08002B2CF9AE}" pid="8" name="MeetingDate">
    <vt:lpwstr>Monday, 2 December 2013</vt:lpwstr>
  </property>
  <property fmtid="{D5CDD505-2E9C-101B-9397-08002B2CF9AE}" pid="9" name="MeetingActualFinishTime">
    <vt:lpwstr>Time Not Specified</vt:lpwstr>
  </property>
  <property fmtid="{D5CDD505-2E9C-101B-9397-08002B2CF9AE}" pid="10" name="Deadline(pubagenda)">
    <vt:lpwstr>Date Not Specified</vt:lpwstr>
  </property>
  <property fmtid="{D5CDD505-2E9C-101B-9397-08002B2CF9AE}" pid="11" name="MembersExpectedShortRepresentingCells">
    <vt:lpwstr> </vt:lpwstr>
  </property>
  <property fmtid="{D5CDD505-2E9C-101B-9397-08002B2CF9AE}" pid="12" name="NextMeetingDate">
    <vt:lpwstr>Date Not Specified</vt:lpwstr>
  </property>
</Properties>
</file>